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8644"/>
      </w:tblGrid>
      <w:tr w:rsidR="000D5E97" w14:paraId="4A7A5542" w14:textId="77777777" w:rsidTr="000D5E97">
        <w:tc>
          <w:tcPr>
            <w:tcW w:w="8644" w:type="dxa"/>
          </w:tcPr>
          <w:p w14:paraId="76E77CD4" w14:textId="77777777" w:rsidR="000D5E97" w:rsidRPr="00E34A0A" w:rsidRDefault="000D5E97" w:rsidP="000D5E97">
            <w:pPr>
              <w:jc w:val="center"/>
              <w:rPr>
                <w:rFonts w:ascii="Times New Roman" w:hAnsi="Times New Roman" w:cs="Times New Roman"/>
                <w:sz w:val="20"/>
                <w:szCs w:val="20"/>
                <w:u w:val="single"/>
              </w:rPr>
            </w:pPr>
            <w:r w:rsidRPr="00E34A0A">
              <w:rPr>
                <w:rFonts w:ascii="Times New Roman" w:hAnsi="Times New Roman" w:cs="Times New Roman"/>
                <w:sz w:val="20"/>
                <w:szCs w:val="20"/>
                <w:u w:val="single"/>
              </w:rPr>
              <w:t>AVVERTENZA</w:t>
            </w:r>
          </w:p>
          <w:p w14:paraId="29ACD0D8" w14:textId="77777777" w:rsidR="000D5E97" w:rsidRPr="00E34A0A" w:rsidRDefault="000D5E97" w:rsidP="000D5E97">
            <w:pPr>
              <w:jc w:val="both"/>
              <w:rPr>
                <w:rFonts w:ascii="Times New Roman" w:hAnsi="Times New Roman" w:cs="Times New Roman"/>
                <w:sz w:val="20"/>
                <w:szCs w:val="20"/>
              </w:rPr>
            </w:pPr>
          </w:p>
          <w:p w14:paraId="65D4C3CF" w14:textId="77777777" w:rsidR="000D5E97" w:rsidRPr="00E34A0A" w:rsidRDefault="000D5E97" w:rsidP="000D5E97">
            <w:pPr>
              <w:jc w:val="both"/>
              <w:rPr>
                <w:rFonts w:ascii="Times New Roman" w:hAnsi="Times New Roman" w:cs="Times New Roman"/>
                <w:i/>
                <w:sz w:val="20"/>
                <w:szCs w:val="20"/>
              </w:rPr>
            </w:pPr>
            <w:r w:rsidRPr="00E34A0A">
              <w:rPr>
                <w:rFonts w:ascii="Times New Roman" w:hAnsi="Times New Roman" w:cs="Times New Roman"/>
                <w:i/>
                <w:sz w:val="20"/>
                <w:szCs w:val="20"/>
              </w:rPr>
              <w:t xml:space="preserve">Il presente documento, redatto in collaborazione con Zitiello Associati Studio Legale, costituisce un modello contrattuale standard </w:t>
            </w:r>
            <w:r w:rsidRPr="00E34A0A">
              <w:rPr>
                <w:rFonts w:ascii="Times New Roman" w:hAnsi="Times New Roman" w:cs="Times New Roman"/>
                <w:b/>
                <w:i/>
                <w:sz w:val="20"/>
                <w:szCs w:val="20"/>
              </w:rPr>
              <w:t>per clientela retail</w:t>
            </w:r>
            <w:r w:rsidRPr="00E34A0A">
              <w:rPr>
                <w:rFonts w:ascii="Times New Roman" w:hAnsi="Times New Roman" w:cs="Times New Roman"/>
                <w:i/>
                <w:sz w:val="20"/>
                <w:szCs w:val="20"/>
              </w:rPr>
              <w:t xml:space="preserve"> riservato agli associati di Assosim e, come tale, </w:t>
            </w:r>
            <w:r w:rsidRPr="00E34A0A">
              <w:rPr>
                <w:rFonts w:ascii="Times New Roman" w:hAnsi="Times New Roman" w:cs="Times New Roman"/>
                <w:b/>
                <w:i/>
                <w:sz w:val="20"/>
                <w:szCs w:val="20"/>
                <w:u w:val="single"/>
              </w:rPr>
              <w:t>richiede adattamenti da parte dell’intermediario che lo utilizzi, in base alle proprie esigenze operative e organizzative</w:t>
            </w:r>
            <w:r w:rsidRPr="00E34A0A">
              <w:rPr>
                <w:rFonts w:ascii="Times New Roman" w:hAnsi="Times New Roman" w:cs="Times New Roman"/>
                <w:i/>
                <w:sz w:val="20"/>
                <w:szCs w:val="20"/>
              </w:rPr>
              <w:t xml:space="preserve">. Lo standard proposto disciplina un modello di </w:t>
            </w:r>
            <w:r w:rsidRPr="00E34A0A">
              <w:rPr>
                <w:rFonts w:ascii="Times New Roman" w:hAnsi="Times New Roman" w:cs="Times New Roman"/>
                <w:b/>
                <w:i/>
                <w:sz w:val="20"/>
                <w:szCs w:val="20"/>
                <w:u w:val="single"/>
              </w:rPr>
              <w:t>consulenza di tipo avanzato</w:t>
            </w:r>
            <w:r w:rsidRPr="00E34A0A">
              <w:rPr>
                <w:rFonts w:ascii="Times New Roman" w:hAnsi="Times New Roman" w:cs="Times New Roman"/>
                <w:i/>
                <w:sz w:val="20"/>
                <w:szCs w:val="20"/>
              </w:rPr>
              <w:t xml:space="preserve">. Spetta a ciascun intermediario valutare attentamente le singole clausole in esso inserite al fine di determinare quali rispondano effettivamente alle specifiche caratteristiche del servizio che si intende offrire.  Gli allegati costituiscono una parte integrante e particolarmente importante del seguente contratto la cui predisposizione, a causa delle specificità economiche e operative di ciascun intermediario, non può che essere interamente affidata a ciascun intermediario. È responsabilità esclusiva dell’intermediario valutare se effettuare adattamenti al presente contratto e coordinarlo con i vari allegati, anche con l’ausilio di consulenti esterni. Il presente documento non costituisce parere o consulenza legale ed è stato predisposto sulla base delle disposizioni normative in vigore alla data del </w:t>
            </w:r>
            <w:r>
              <w:rPr>
                <w:rFonts w:ascii="Times New Roman" w:hAnsi="Times New Roman" w:cs="Times New Roman"/>
                <w:i/>
                <w:sz w:val="20"/>
                <w:szCs w:val="20"/>
              </w:rPr>
              <w:t xml:space="preserve">3 aprile 2023. </w:t>
            </w:r>
            <w:r w:rsidRPr="00E34A0A">
              <w:rPr>
                <w:rFonts w:ascii="Times New Roman" w:hAnsi="Times New Roman" w:cs="Times New Roman"/>
                <w:i/>
                <w:sz w:val="20"/>
                <w:szCs w:val="20"/>
              </w:rPr>
              <w:t>Assosim e Zitiello Associati Studio Legale declinano ogni responsabilità contrattuale ed extracontrattuale per danni riferibili a qualsiasi titolo all’utilizzo del presente modello contrattuale.</w:t>
            </w:r>
          </w:p>
          <w:p w14:paraId="0A0A5C0F" w14:textId="77777777" w:rsidR="000D5E97" w:rsidRDefault="000D5E97" w:rsidP="00E34A0A">
            <w:pPr>
              <w:ind w:right="141"/>
              <w:jc w:val="both"/>
              <w:rPr>
                <w:rFonts w:ascii="Times New Roman" w:eastAsia="Times New Roman" w:hAnsi="Times New Roman" w:cs="Times New Roman"/>
                <w:sz w:val="20"/>
                <w:szCs w:val="20"/>
              </w:rPr>
            </w:pPr>
          </w:p>
        </w:tc>
      </w:tr>
    </w:tbl>
    <w:p w14:paraId="43718C20" w14:textId="77777777" w:rsidR="000D5E97" w:rsidRDefault="000D5E97" w:rsidP="00E34A0A">
      <w:pPr>
        <w:ind w:right="141" w:firstLine="4678"/>
        <w:jc w:val="both"/>
        <w:rPr>
          <w:rFonts w:ascii="Times New Roman" w:eastAsia="Times New Roman" w:hAnsi="Times New Roman" w:cs="Times New Roman"/>
          <w:sz w:val="20"/>
          <w:szCs w:val="20"/>
        </w:rPr>
      </w:pPr>
    </w:p>
    <w:p w14:paraId="01EBF793" w14:textId="77777777" w:rsidR="000D5E97" w:rsidRDefault="000D5E97" w:rsidP="000D5E97">
      <w:pPr>
        <w:jc w:val="both"/>
        <w:rPr>
          <w:b/>
          <w:i/>
          <w:sz w:val="20"/>
          <w:szCs w:val="20"/>
        </w:rPr>
      </w:pPr>
    </w:p>
    <w:p w14:paraId="4BD060AB" w14:textId="77777777" w:rsidR="000D5E97" w:rsidRDefault="000D5E97" w:rsidP="00E34A0A">
      <w:pPr>
        <w:ind w:right="141" w:firstLine="4678"/>
        <w:jc w:val="both"/>
        <w:rPr>
          <w:rFonts w:ascii="Times New Roman" w:eastAsia="Times New Roman" w:hAnsi="Times New Roman" w:cs="Times New Roman"/>
          <w:sz w:val="20"/>
          <w:szCs w:val="20"/>
        </w:rPr>
      </w:pPr>
    </w:p>
    <w:p w14:paraId="2D5D6FDE" w14:textId="77777777" w:rsidR="000D5E97" w:rsidRDefault="000D5E97" w:rsidP="00E34A0A">
      <w:pPr>
        <w:ind w:right="141" w:firstLine="4678"/>
        <w:jc w:val="both"/>
        <w:rPr>
          <w:rFonts w:ascii="Times New Roman" w:eastAsia="Times New Roman" w:hAnsi="Times New Roman" w:cs="Times New Roman"/>
          <w:sz w:val="20"/>
          <w:szCs w:val="20"/>
        </w:rPr>
      </w:pPr>
    </w:p>
    <w:p w14:paraId="39370D0A" w14:textId="77777777" w:rsidR="000D5E97" w:rsidRDefault="000D5E97" w:rsidP="00E34A0A">
      <w:pPr>
        <w:ind w:right="141" w:firstLine="4678"/>
        <w:jc w:val="both"/>
        <w:rPr>
          <w:rFonts w:ascii="Times New Roman" w:eastAsia="Times New Roman" w:hAnsi="Times New Roman" w:cs="Times New Roman"/>
          <w:sz w:val="20"/>
          <w:szCs w:val="20"/>
        </w:rPr>
      </w:pPr>
    </w:p>
    <w:p w14:paraId="5069AB27" w14:textId="77777777" w:rsidR="000D5E97" w:rsidRDefault="000D5E97" w:rsidP="00E34A0A">
      <w:pPr>
        <w:ind w:right="141" w:firstLine="4678"/>
        <w:jc w:val="both"/>
        <w:rPr>
          <w:rFonts w:ascii="Times New Roman" w:eastAsia="Times New Roman" w:hAnsi="Times New Roman" w:cs="Times New Roman"/>
          <w:sz w:val="20"/>
          <w:szCs w:val="20"/>
        </w:rPr>
      </w:pPr>
    </w:p>
    <w:p w14:paraId="3635C060" w14:textId="0FFBF81A" w:rsidR="00E34A0A" w:rsidRPr="00E34A0A" w:rsidRDefault="00E34A0A" w:rsidP="00E34A0A">
      <w:pPr>
        <w:ind w:right="141" w:firstLine="4678"/>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Spettabile (</w:t>
      </w:r>
      <w:r w:rsidRPr="00E34A0A">
        <w:rPr>
          <w:rFonts w:ascii="Times New Roman" w:eastAsia="Times New Roman" w:hAnsi="Times New Roman" w:cs="Times New Roman"/>
          <w:sz w:val="20"/>
          <w:szCs w:val="20"/>
          <w:vertAlign w:val="superscript"/>
        </w:rPr>
        <w:footnoteReference w:id="1"/>
      </w:r>
      <w:r w:rsidRPr="00E34A0A">
        <w:rPr>
          <w:rFonts w:ascii="Times New Roman" w:eastAsia="Times New Roman" w:hAnsi="Times New Roman" w:cs="Times New Roman"/>
          <w:sz w:val="20"/>
          <w:szCs w:val="20"/>
        </w:rPr>
        <w:t>)</w:t>
      </w:r>
    </w:p>
    <w:p w14:paraId="4721F991" w14:textId="77777777" w:rsidR="00E34A0A" w:rsidRPr="00E34A0A" w:rsidRDefault="00E34A0A" w:rsidP="00E34A0A">
      <w:pPr>
        <w:ind w:right="141" w:firstLine="4678"/>
        <w:jc w:val="both"/>
        <w:rPr>
          <w:rFonts w:ascii="Times New Roman" w:eastAsia="Times New Roman" w:hAnsi="Times New Roman" w:cs="Times New Roman"/>
          <w:i/>
          <w:sz w:val="20"/>
          <w:szCs w:val="20"/>
        </w:rPr>
      </w:pP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i/>
          <w:sz w:val="20"/>
          <w:szCs w:val="20"/>
        </w:rPr>
        <w:t>inserire dati della Banca / SIM</w:t>
      </w:r>
      <w:r w:rsidRPr="00E34A0A">
        <w:rPr>
          <w:rFonts w:ascii="Times New Roman" w:eastAsia="Times New Roman" w:hAnsi="Times New Roman" w:cs="Times New Roman"/>
          <w:sz w:val="20"/>
          <w:szCs w:val="20"/>
        </w:rPr>
        <w:t>]</w:t>
      </w:r>
    </w:p>
    <w:p w14:paraId="7D700F95" w14:textId="77777777" w:rsidR="00E34A0A" w:rsidRPr="00E34A0A" w:rsidRDefault="00E34A0A" w:rsidP="00E34A0A">
      <w:pPr>
        <w:ind w:right="141" w:firstLine="4678"/>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sz w:val="20"/>
          <w:szCs w:val="20"/>
        </w:rPr>
        <w:sym w:font="Webdings" w:char="F03D"/>
      </w:r>
      <w:r w:rsidRPr="00E34A0A">
        <w:rPr>
          <w:rFonts w:ascii="Times New Roman" w:eastAsia="Times New Roman" w:hAnsi="Times New Roman" w:cs="Times New Roman"/>
          <w:sz w:val="20"/>
          <w:szCs w:val="20"/>
        </w:rPr>
        <w:t>]</w:t>
      </w:r>
    </w:p>
    <w:p w14:paraId="4F12B426" w14:textId="77777777" w:rsidR="00E34A0A" w:rsidRPr="00E34A0A" w:rsidRDefault="00E34A0A" w:rsidP="00E34A0A">
      <w:pPr>
        <w:ind w:right="141" w:firstLine="4678"/>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sz w:val="20"/>
          <w:szCs w:val="20"/>
        </w:rPr>
        <w:sym w:font="Webdings" w:char="F03D"/>
      </w:r>
      <w:r w:rsidRPr="00E34A0A">
        <w:rPr>
          <w:rFonts w:ascii="Times New Roman" w:eastAsia="Times New Roman" w:hAnsi="Times New Roman" w:cs="Times New Roman"/>
          <w:sz w:val="20"/>
          <w:szCs w:val="20"/>
        </w:rPr>
        <w:t>]</w:t>
      </w:r>
    </w:p>
    <w:p w14:paraId="1B95FABC" w14:textId="77777777" w:rsidR="00E34A0A" w:rsidRPr="00E34A0A" w:rsidRDefault="00E34A0A" w:rsidP="00E34A0A">
      <w:pPr>
        <w:ind w:right="141"/>
        <w:jc w:val="both"/>
        <w:rPr>
          <w:rFonts w:ascii="Times New Roman" w:eastAsia="Times New Roman" w:hAnsi="Times New Roman" w:cs="Times New Roman"/>
          <w:b/>
          <w:sz w:val="20"/>
          <w:szCs w:val="20"/>
          <w:u w:val="single"/>
        </w:rPr>
      </w:pPr>
    </w:p>
    <w:p w14:paraId="63C0CB79" w14:textId="77777777" w:rsidR="00E34A0A" w:rsidRPr="00E34A0A" w:rsidRDefault="00E34A0A" w:rsidP="00E34A0A">
      <w:pPr>
        <w:ind w:right="141"/>
        <w:jc w:val="both"/>
        <w:rPr>
          <w:rFonts w:ascii="Times New Roman" w:eastAsia="Times New Roman" w:hAnsi="Times New Roman" w:cs="Times New Roman"/>
          <w:b/>
          <w:sz w:val="20"/>
          <w:szCs w:val="20"/>
          <w:u w:val="single"/>
        </w:rPr>
      </w:pPr>
    </w:p>
    <w:p w14:paraId="764ABE3D" w14:textId="77777777" w:rsidR="00E34A0A" w:rsidRPr="00E34A0A" w:rsidRDefault="00E34A0A" w:rsidP="00E34A0A">
      <w:pPr>
        <w:ind w:right="141"/>
        <w:jc w:val="both"/>
        <w:rPr>
          <w:rFonts w:ascii="Times New Roman" w:eastAsia="Times New Roman" w:hAnsi="Times New Roman" w:cs="Times New Roman"/>
          <w:b/>
          <w:sz w:val="20"/>
          <w:szCs w:val="20"/>
          <w:u w:val="single"/>
        </w:rPr>
      </w:pPr>
    </w:p>
    <w:p w14:paraId="2C87869B" w14:textId="77777777" w:rsidR="00E34A0A" w:rsidRPr="00E34A0A" w:rsidRDefault="00E34A0A" w:rsidP="00E34A0A">
      <w:pPr>
        <w:tabs>
          <w:tab w:val="center" w:pos="4182"/>
        </w:tabs>
        <w:ind w:right="141"/>
        <w:jc w:val="both"/>
        <w:rPr>
          <w:rFonts w:ascii="Times New Roman" w:eastAsia="Times New Roman" w:hAnsi="Times New Roman" w:cs="Times New Roman"/>
          <w:b/>
          <w:sz w:val="20"/>
          <w:szCs w:val="20"/>
          <w:u w:val="single"/>
        </w:rPr>
      </w:pPr>
    </w:p>
    <w:p w14:paraId="6643A96B" w14:textId="77777777" w:rsidR="00E34A0A" w:rsidRPr="00E34A0A" w:rsidRDefault="00E34A0A" w:rsidP="00E34A0A">
      <w:pPr>
        <w:tabs>
          <w:tab w:val="center" w:pos="4182"/>
        </w:tabs>
        <w:ind w:right="141"/>
        <w:jc w:val="both"/>
        <w:rPr>
          <w:rFonts w:ascii="Times New Roman" w:eastAsia="Times New Roman" w:hAnsi="Times New Roman" w:cs="Times New Roman"/>
          <w:b/>
          <w:sz w:val="20"/>
          <w:szCs w:val="20"/>
          <w:u w:val="single"/>
        </w:rPr>
      </w:pPr>
    </w:p>
    <w:p w14:paraId="4CC76827" w14:textId="77777777" w:rsidR="00E34A0A" w:rsidRPr="00E34A0A" w:rsidRDefault="00E34A0A" w:rsidP="00E34A0A">
      <w:pPr>
        <w:tabs>
          <w:tab w:val="center" w:pos="4182"/>
        </w:tabs>
        <w:ind w:right="141"/>
        <w:jc w:val="both"/>
        <w:rPr>
          <w:rFonts w:ascii="Times New Roman" w:eastAsia="Times New Roman" w:hAnsi="Times New Roman" w:cs="Times New Roman"/>
          <w:b/>
          <w:sz w:val="20"/>
          <w:szCs w:val="20"/>
          <w:u w:val="single"/>
        </w:rPr>
      </w:pPr>
    </w:p>
    <w:p w14:paraId="18F38ACB" w14:textId="77777777" w:rsidR="00E34A0A" w:rsidRPr="00E34A0A" w:rsidRDefault="00E34A0A" w:rsidP="00E34A0A">
      <w:pPr>
        <w:tabs>
          <w:tab w:val="center" w:pos="4182"/>
        </w:tabs>
        <w:ind w:right="141"/>
        <w:jc w:val="both"/>
        <w:rPr>
          <w:rFonts w:ascii="Times New Roman" w:eastAsia="Times New Roman" w:hAnsi="Times New Roman" w:cs="Times New Roman"/>
          <w:b/>
          <w:sz w:val="20"/>
          <w:szCs w:val="20"/>
          <w:u w:val="single"/>
        </w:rPr>
      </w:pPr>
    </w:p>
    <w:p w14:paraId="5220536E" w14:textId="77777777" w:rsidR="00E34A0A" w:rsidRPr="00E34A0A" w:rsidRDefault="00E34A0A" w:rsidP="00E34A0A">
      <w:pPr>
        <w:tabs>
          <w:tab w:val="center" w:pos="4182"/>
        </w:tabs>
        <w:ind w:right="141"/>
        <w:jc w:val="both"/>
        <w:rPr>
          <w:rFonts w:ascii="Times New Roman" w:eastAsia="Times New Roman" w:hAnsi="Times New Roman" w:cs="Times New Roman"/>
          <w:b/>
          <w:sz w:val="20"/>
          <w:szCs w:val="20"/>
          <w:u w:val="single"/>
        </w:rPr>
      </w:pPr>
    </w:p>
    <w:p w14:paraId="3D2D79F4" w14:textId="77777777" w:rsidR="00E34A0A" w:rsidRPr="000D5E97" w:rsidRDefault="00E34A0A" w:rsidP="00E34A0A">
      <w:pPr>
        <w:ind w:right="141"/>
        <w:jc w:val="center"/>
        <w:rPr>
          <w:rFonts w:ascii="Times New Roman" w:eastAsia="Times New Roman" w:hAnsi="Times New Roman" w:cs="Times New Roman"/>
          <w:b/>
          <w:smallCaps/>
        </w:rPr>
      </w:pPr>
      <w:r w:rsidRPr="000D5E97">
        <w:rPr>
          <w:rFonts w:ascii="Times New Roman" w:eastAsia="Times New Roman" w:hAnsi="Times New Roman" w:cs="Times New Roman"/>
          <w:b/>
          <w:smallCaps/>
        </w:rPr>
        <w:t>PROPOSTA DI CONTRATTO DI CONSULENZA</w:t>
      </w:r>
    </w:p>
    <w:p w14:paraId="14AC5B10" w14:textId="77777777" w:rsidR="00E34A0A" w:rsidRPr="000D5E97" w:rsidRDefault="00E34A0A" w:rsidP="00E34A0A">
      <w:pPr>
        <w:ind w:right="141"/>
        <w:jc w:val="center"/>
        <w:rPr>
          <w:rFonts w:ascii="Times New Roman" w:eastAsia="Times New Roman" w:hAnsi="Times New Roman" w:cs="Times New Roman"/>
          <w:b/>
          <w:smallCaps/>
        </w:rPr>
      </w:pPr>
      <w:r w:rsidRPr="000D5E97">
        <w:rPr>
          <w:rFonts w:ascii="Times New Roman" w:eastAsia="Times New Roman" w:hAnsi="Times New Roman" w:cs="Times New Roman"/>
          <w:b/>
          <w:smallCaps/>
        </w:rPr>
        <w:t>IN MATERIA DI INVESTIMENTI</w:t>
      </w:r>
    </w:p>
    <w:p w14:paraId="332E2AFD" w14:textId="77777777" w:rsidR="00E34A0A" w:rsidRPr="00E34A0A" w:rsidRDefault="00E34A0A" w:rsidP="00E34A0A">
      <w:pPr>
        <w:tabs>
          <w:tab w:val="center" w:pos="4182"/>
        </w:tabs>
        <w:ind w:right="141"/>
        <w:jc w:val="both"/>
        <w:rPr>
          <w:rFonts w:ascii="Times New Roman" w:eastAsia="Times New Roman" w:hAnsi="Times New Roman" w:cs="Times New Roman"/>
          <w:b/>
          <w:smallCaps/>
          <w:sz w:val="22"/>
        </w:rPr>
      </w:pPr>
    </w:p>
    <w:p w14:paraId="0D33EBE7" w14:textId="77777777" w:rsidR="00E34A0A" w:rsidRPr="00E34A0A" w:rsidRDefault="00E34A0A" w:rsidP="00E34A0A">
      <w:pPr>
        <w:tabs>
          <w:tab w:val="center" w:pos="4182"/>
        </w:tabs>
        <w:ind w:right="141"/>
        <w:jc w:val="both"/>
        <w:rPr>
          <w:rFonts w:ascii="Times New Roman" w:eastAsia="Times New Roman" w:hAnsi="Times New Roman" w:cs="Times New Roman"/>
          <w:b/>
          <w:sz w:val="22"/>
          <w:szCs w:val="20"/>
          <w:u w:val="single"/>
        </w:rPr>
      </w:pPr>
    </w:p>
    <w:p w14:paraId="1BEDB50B" w14:textId="77777777" w:rsidR="00E34A0A" w:rsidRPr="00E34A0A" w:rsidRDefault="00E34A0A" w:rsidP="00E34A0A">
      <w:pPr>
        <w:tabs>
          <w:tab w:val="center" w:pos="4182"/>
        </w:tabs>
        <w:ind w:right="141"/>
        <w:jc w:val="both"/>
        <w:rPr>
          <w:rFonts w:ascii="Times New Roman" w:eastAsia="Times New Roman" w:hAnsi="Times New Roman" w:cs="Times New Roman"/>
          <w:b/>
          <w:sz w:val="22"/>
          <w:szCs w:val="20"/>
          <w:u w:val="single"/>
        </w:rPr>
      </w:pPr>
    </w:p>
    <w:p w14:paraId="66754A2E" w14:textId="77777777" w:rsidR="00E34A0A" w:rsidRPr="00E34A0A" w:rsidRDefault="00E34A0A" w:rsidP="00E34A0A">
      <w:pPr>
        <w:tabs>
          <w:tab w:val="center" w:pos="4182"/>
        </w:tabs>
        <w:ind w:right="141"/>
        <w:jc w:val="both"/>
        <w:rPr>
          <w:rFonts w:ascii="Times New Roman" w:eastAsia="Times New Roman" w:hAnsi="Times New Roman" w:cs="Times New Roman"/>
          <w:b/>
          <w:sz w:val="22"/>
          <w:szCs w:val="20"/>
          <w:u w:val="single"/>
        </w:rPr>
      </w:pPr>
    </w:p>
    <w:p w14:paraId="3CABA4AC" w14:textId="77777777" w:rsidR="00E34A0A" w:rsidRPr="00E34A0A" w:rsidRDefault="00E34A0A" w:rsidP="00E34A0A">
      <w:pPr>
        <w:tabs>
          <w:tab w:val="center" w:pos="4182"/>
        </w:tabs>
        <w:ind w:right="141"/>
        <w:jc w:val="both"/>
        <w:rPr>
          <w:rFonts w:ascii="Times New Roman" w:eastAsia="Times New Roman" w:hAnsi="Times New Roman" w:cs="Times New Roman"/>
          <w:b/>
          <w:sz w:val="22"/>
          <w:szCs w:val="20"/>
          <w:u w:val="single"/>
        </w:rPr>
      </w:pPr>
    </w:p>
    <w:p w14:paraId="749BD336" w14:textId="77777777" w:rsidR="00756883" w:rsidRDefault="00756883" w:rsidP="00E34A0A">
      <w:pPr>
        <w:ind w:right="141"/>
        <w:jc w:val="center"/>
        <w:rPr>
          <w:rFonts w:ascii="Times New Roman" w:eastAsia="Times New Roman" w:hAnsi="Times New Roman" w:cs="Times New Roman"/>
          <w:b/>
          <w:sz w:val="20"/>
          <w:szCs w:val="20"/>
        </w:rPr>
      </w:pPr>
    </w:p>
    <w:p w14:paraId="69717491" w14:textId="06FEB614" w:rsidR="00E34A0A" w:rsidRPr="00E34A0A" w:rsidRDefault="00E34A0A" w:rsidP="00E34A0A">
      <w:pPr>
        <w:ind w:right="141"/>
        <w:jc w:val="center"/>
        <w:rPr>
          <w:rFonts w:ascii="Times New Roman" w:eastAsia="Times New Roman" w:hAnsi="Times New Roman" w:cs="Times New Roman"/>
          <w:b/>
          <w:sz w:val="20"/>
          <w:szCs w:val="20"/>
        </w:rPr>
      </w:pPr>
      <w:r w:rsidRPr="00E34A0A">
        <w:rPr>
          <w:rFonts w:ascii="Times New Roman" w:eastAsia="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252E5CCA" wp14:editId="7EAA78DC">
                <wp:simplePos x="0" y="0"/>
                <wp:positionH relativeFrom="column">
                  <wp:posOffset>25400</wp:posOffset>
                </wp:positionH>
                <wp:positionV relativeFrom="paragraph">
                  <wp:posOffset>-50165</wp:posOffset>
                </wp:positionV>
                <wp:extent cx="5257800" cy="514350"/>
                <wp:effectExtent l="10160" t="13970" r="8890" b="5080"/>
                <wp:wrapThrough wrapText="bothSides">
                  <wp:wrapPolygon edited="0">
                    <wp:start x="-39" y="0"/>
                    <wp:lineTo x="-39" y="21200"/>
                    <wp:lineTo x="21639" y="21200"/>
                    <wp:lineTo x="21639" y="0"/>
                    <wp:lineTo x="-39" y="0"/>
                  </wp:wrapPolygon>
                </wp:wrapThrough>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14350"/>
                        </a:xfrm>
                        <a:prstGeom prst="rect">
                          <a:avLst/>
                        </a:prstGeom>
                        <a:solidFill>
                          <a:srgbClr val="FFFFFF"/>
                        </a:solidFill>
                        <a:ln w="9525">
                          <a:solidFill>
                            <a:srgbClr val="000000"/>
                          </a:solidFill>
                          <a:miter lim="800000"/>
                          <a:headEnd/>
                          <a:tailEnd/>
                        </a:ln>
                      </wps:spPr>
                      <wps:txbx>
                        <w:txbxContent>
                          <w:p w14:paraId="451548E7" w14:textId="77777777" w:rsidR="00E34A0A" w:rsidRPr="00E34A0A" w:rsidRDefault="00E34A0A" w:rsidP="00E34A0A">
                            <w:pPr>
                              <w:jc w:val="both"/>
                              <w:rPr>
                                <w:rFonts w:ascii="Times New Roman" w:hAnsi="Times New Roman" w:cs="Times New Roman"/>
                                <w:i/>
                                <w:sz w:val="20"/>
                                <w:szCs w:val="20"/>
                              </w:rPr>
                            </w:pPr>
                            <w:r w:rsidRPr="00E34A0A">
                              <w:rPr>
                                <w:rFonts w:ascii="Times New Roman" w:hAnsi="Times New Roman" w:cs="Times New Roman"/>
                                <w:i/>
                                <w:sz w:val="20"/>
                                <w:szCs w:val="20"/>
                              </w:rPr>
                              <w:t xml:space="preserve">Inserire anagrafica e dati identificativi del cliente; in caso di </w:t>
                            </w:r>
                            <w:proofErr w:type="spellStart"/>
                            <w:r w:rsidRPr="00E34A0A">
                              <w:rPr>
                                <w:rFonts w:ascii="Times New Roman" w:hAnsi="Times New Roman" w:cs="Times New Roman"/>
                                <w:i/>
                                <w:sz w:val="20"/>
                                <w:szCs w:val="20"/>
                              </w:rPr>
                              <w:t>cointestazione</w:t>
                            </w:r>
                            <w:proofErr w:type="spellEnd"/>
                            <w:r w:rsidRPr="00E34A0A">
                              <w:rPr>
                                <w:rFonts w:ascii="Times New Roman" w:hAnsi="Times New Roman" w:cs="Times New Roman"/>
                                <w:i/>
                                <w:sz w:val="20"/>
                                <w:szCs w:val="20"/>
                              </w:rPr>
                              <w:t>, andranno inseriti i dati di ciascun cointestatario e specificato se l’operatività sarà a firma disgiunta o congiunta.</w:t>
                            </w:r>
                          </w:p>
                          <w:p w14:paraId="5C9A93FE" w14:textId="77777777" w:rsidR="00E34A0A" w:rsidRPr="00317AE7" w:rsidRDefault="00E34A0A" w:rsidP="00E34A0A">
                            <w:pPr>
                              <w:jc w:val="both"/>
                              <w:rPr>
                                <w:b/>
                                <w:i/>
                                <w:sz w:val="20"/>
                                <w:szCs w:val="20"/>
                              </w:rPr>
                            </w:pPr>
                          </w:p>
                          <w:p w14:paraId="312C5B74" w14:textId="77777777" w:rsidR="00E34A0A" w:rsidRDefault="00E34A0A" w:rsidP="00E34A0A">
                            <w:pPr>
                              <w:jc w:val="center"/>
                              <w:rPr>
                                <w:b/>
                              </w:rPr>
                            </w:pPr>
                          </w:p>
                          <w:p w14:paraId="0DBD455D" w14:textId="77777777" w:rsidR="00E34A0A" w:rsidRDefault="00E34A0A" w:rsidP="00E34A0A">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E5CCA" id="_x0000_t202" coordsize="21600,21600" o:spt="202" path="m,l,21600r21600,l21600,xe">
                <v:stroke joinstyle="miter"/>
                <v:path gradientshapeok="t" o:connecttype="rect"/>
              </v:shapetype>
              <v:shape id="Casella di testo 2" o:spid="_x0000_s1026" type="#_x0000_t202" style="position:absolute;left:0;text-align:left;margin-left:2pt;margin-top:-3.95pt;width:414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">
                <v:textbox>
                  <w:txbxContent>
                    <w:p w14:paraId="451548E7" w14:textId="77777777" w:rsidR="00E34A0A" w:rsidRPr="00E34A0A" w:rsidRDefault="00E34A0A" w:rsidP="00E34A0A">
                      <w:pPr>
                        <w:jc w:val="both"/>
                        <w:rPr>
                          <w:rFonts w:ascii="Times New Roman" w:hAnsi="Times New Roman" w:cs="Times New Roman"/>
                          <w:i/>
                          <w:sz w:val="20"/>
                          <w:szCs w:val="20"/>
                        </w:rPr>
                      </w:pPr>
                      <w:r w:rsidRPr="00E34A0A">
                        <w:rPr>
                          <w:rFonts w:ascii="Times New Roman" w:hAnsi="Times New Roman" w:cs="Times New Roman"/>
                          <w:i/>
                          <w:sz w:val="20"/>
                          <w:szCs w:val="20"/>
                        </w:rPr>
                        <w:t xml:space="preserve">Inserire anagrafica e dati identificativi del cliente; in caso di </w:t>
                      </w:r>
                      <w:proofErr w:type="spellStart"/>
                      <w:r w:rsidRPr="00E34A0A">
                        <w:rPr>
                          <w:rFonts w:ascii="Times New Roman" w:hAnsi="Times New Roman" w:cs="Times New Roman"/>
                          <w:i/>
                          <w:sz w:val="20"/>
                          <w:szCs w:val="20"/>
                        </w:rPr>
                        <w:t>cointestazione</w:t>
                      </w:r>
                      <w:proofErr w:type="spellEnd"/>
                      <w:r w:rsidRPr="00E34A0A">
                        <w:rPr>
                          <w:rFonts w:ascii="Times New Roman" w:hAnsi="Times New Roman" w:cs="Times New Roman"/>
                          <w:i/>
                          <w:sz w:val="20"/>
                          <w:szCs w:val="20"/>
                        </w:rPr>
                        <w:t>, andranno inseriti i dati di ciascun cointestatario e specificato se l’operatività sarà a firma disgiunta o congiunta.</w:t>
                      </w:r>
                    </w:p>
                    <w:p w14:paraId="5C9A93FE" w14:textId="77777777" w:rsidR="00E34A0A" w:rsidRPr="00317AE7" w:rsidRDefault="00E34A0A" w:rsidP="00E34A0A">
                      <w:pPr>
                        <w:jc w:val="both"/>
                        <w:rPr>
                          <w:b/>
                          <w:i/>
                          <w:sz w:val="20"/>
                          <w:szCs w:val="20"/>
                        </w:rPr>
                      </w:pPr>
                    </w:p>
                    <w:p w14:paraId="312C5B74" w14:textId="77777777" w:rsidR="00E34A0A" w:rsidRDefault="00E34A0A" w:rsidP="00E34A0A">
                      <w:pPr>
                        <w:jc w:val="center"/>
                        <w:rPr>
                          <w:b/>
                        </w:rPr>
                      </w:pPr>
                    </w:p>
                    <w:p w14:paraId="0DBD455D" w14:textId="77777777" w:rsidR="00E34A0A" w:rsidRDefault="00E34A0A" w:rsidP="00E34A0A">
                      <w:pPr>
                        <w:jc w:val="center"/>
                        <w:rPr>
                          <w:b/>
                        </w:rPr>
                      </w:pPr>
                    </w:p>
                  </w:txbxContent>
                </v:textbox>
                <w10:wrap type="through"/>
              </v:shape>
            </w:pict>
          </mc:Fallback>
        </mc:AlternateContent>
      </w:r>
    </w:p>
    <w:p w14:paraId="4091C182" w14:textId="77777777" w:rsidR="00E34A0A" w:rsidRPr="00E34A0A" w:rsidRDefault="00E34A0A" w:rsidP="00E34A0A">
      <w:pPr>
        <w:ind w:right="141"/>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lastRenderedPageBreak/>
        <w:t xml:space="preserve">di seguito definito, anche in caso di </w:t>
      </w:r>
      <w:proofErr w:type="spellStart"/>
      <w:r w:rsidRPr="00E34A0A">
        <w:rPr>
          <w:rFonts w:ascii="Times New Roman" w:eastAsia="Times New Roman" w:hAnsi="Times New Roman" w:cs="Times New Roman"/>
          <w:sz w:val="20"/>
          <w:szCs w:val="20"/>
        </w:rPr>
        <w:t>cointestazione</w:t>
      </w:r>
      <w:proofErr w:type="spellEnd"/>
      <w:r w:rsidRPr="00E34A0A">
        <w:rPr>
          <w:rFonts w:ascii="Times New Roman" w:eastAsia="Times New Roman" w:hAnsi="Times New Roman" w:cs="Times New Roman"/>
          <w:sz w:val="20"/>
          <w:szCs w:val="20"/>
        </w:rPr>
        <w:t>, il “Cliente”</w:t>
      </w:r>
    </w:p>
    <w:p w14:paraId="32B9621B" w14:textId="77777777" w:rsidR="00E34A0A" w:rsidRPr="00E34A0A" w:rsidRDefault="00E34A0A" w:rsidP="00E34A0A">
      <w:pPr>
        <w:ind w:right="141"/>
        <w:jc w:val="both"/>
        <w:rPr>
          <w:rFonts w:ascii="Times New Roman" w:eastAsia="Times New Roman" w:hAnsi="Times New Roman" w:cs="Times New Roman"/>
          <w:b/>
          <w:sz w:val="20"/>
          <w:szCs w:val="20"/>
          <w:u w:val="single"/>
        </w:rPr>
      </w:pPr>
    </w:p>
    <w:p w14:paraId="0CF58366" w14:textId="77777777" w:rsidR="00E34A0A" w:rsidRPr="00E34A0A" w:rsidRDefault="00E34A0A" w:rsidP="00E34A0A">
      <w:pPr>
        <w:ind w:right="141"/>
        <w:jc w:val="both"/>
        <w:rPr>
          <w:rFonts w:ascii="Times New Roman" w:eastAsia="Times New Roman" w:hAnsi="Times New Roman" w:cs="Times New Roman"/>
          <w:b/>
          <w:sz w:val="20"/>
          <w:szCs w:val="20"/>
          <w:u w:val="single"/>
        </w:rPr>
      </w:pPr>
    </w:p>
    <w:p w14:paraId="41BE8E83" w14:textId="77777777" w:rsidR="00E34A0A" w:rsidRPr="00E34A0A" w:rsidRDefault="00E34A0A" w:rsidP="00E34A0A">
      <w:pPr>
        <w:ind w:right="141"/>
        <w:jc w:val="both"/>
        <w:rPr>
          <w:rFonts w:ascii="Times New Roman" w:eastAsia="Times New Roman" w:hAnsi="Times New Roman" w:cs="Times New Roman"/>
          <w:sz w:val="20"/>
          <w:szCs w:val="20"/>
        </w:rPr>
      </w:pPr>
    </w:p>
    <w:p w14:paraId="466E02BE" w14:textId="77777777" w:rsidR="00E34A0A" w:rsidRPr="00E34A0A" w:rsidRDefault="00E34A0A" w:rsidP="00E34A0A">
      <w:pPr>
        <w:keepNext/>
        <w:ind w:right="141"/>
        <w:jc w:val="center"/>
        <w:outlineLvl w:val="4"/>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PREMESSO CHE:</w:t>
      </w:r>
    </w:p>
    <w:p w14:paraId="056C13FC" w14:textId="77777777" w:rsidR="00E34A0A" w:rsidRPr="00E34A0A" w:rsidRDefault="00E34A0A" w:rsidP="00E34A0A">
      <w:pPr>
        <w:ind w:right="141"/>
        <w:jc w:val="both"/>
        <w:rPr>
          <w:rFonts w:ascii="Times New Roman" w:eastAsia="Times New Roman" w:hAnsi="Times New Roman" w:cs="Times New Roman"/>
          <w:sz w:val="20"/>
          <w:szCs w:val="20"/>
        </w:rPr>
      </w:pPr>
    </w:p>
    <w:p w14:paraId="1E475FAC" w14:textId="2FB33D08" w:rsidR="00E34A0A" w:rsidRPr="00E34A0A" w:rsidRDefault="00E34A0A" w:rsidP="00E34A0A">
      <w:pPr>
        <w:numPr>
          <w:ilvl w:val="0"/>
          <w:numId w:val="20"/>
        </w:numPr>
        <w:ind w:right="141"/>
        <w:jc w:val="both"/>
        <w:rPr>
          <w:rFonts w:ascii="Times New Roman" w:eastAsia="Times New Roman" w:hAnsi="Times New Roman" w:cs="Times New Roman"/>
          <w:sz w:val="20"/>
          <w:szCs w:val="20"/>
        </w:rPr>
      </w:pPr>
      <w:proofErr w:type="spellStart"/>
      <w:r w:rsidRPr="00E34A0A">
        <w:rPr>
          <w:rFonts w:ascii="Times New Roman" w:eastAsia="Times New Roman" w:hAnsi="Times New Roman" w:cs="Times New Roman"/>
          <w:sz w:val="20"/>
          <w:szCs w:val="20"/>
        </w:rPr>
        <w:t>la</w:t>
      </w:r>
      <w:proofErr w:type="spellEnd"/>
      <w:r w:rsidRPr="00E34A0A">
        <w:rPr>
          <w:rFonts w:ascii="Times New Roman" w:eastAsia="Times New Roman" w:hAnsi="Times New Roman" w:cs="Times New Roman"/>
          <w:sz w:val="20"/>
          <w:szCs w:val="20"/>
        </w:rPr>
        <w:t xml:space="preserve">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è autorizzata alla prestazione del servizio di consulenza in materia di investimenti ai sensi della Normativa di Riferimento (per tale intendendosi, fatte salve successive modifiche e integrazioni: la normativa europea e nazionale, di carattere primario e secondario, concernente il settore dei servizi e delle attività di investimento, dell’offerta al pubblico di prodotti finanziari, </w:t>
      </w:r>
      <w:r w:rsidRPr="00E34A0A">
        <w:rPr>
          <w:rFonts w:ascii="Times New Roman" w:eastAsia="Times New Roman" w:hAnsi="Times New Roman" w:cs="Times New Roman"/>
          <w:sz w:val="20"/>
        </w:rPr>
        <w:t>della distribuzione di prodotti di investimento assicurativi</w:t>
      </w:r>
      <w:r w:rsidRPr="00E34A0A">
        <w:rPr>
          <w:rFonts w:ascii="Times New Roman" w:eastAsia="Times New Roman" w:hAnsi="Times New Roman" w:cs="Times New Roman"/>
          <w:sz w:val="20"/>
          <w:szCs w:val="20"/>
        </w:rPr>
        <w:t xml:space="preserve"> e, comunque quella riguardante il mercato finanziario, ossia, a titolo esemplificativo e non esaustivo, </w:t>
      </w:r>
      <w:r w:rsidRPr="00E34A0A">
        <w:rPr>
          <w:rFonts w:ascii="Times New Roman" w:eastAsia="Times New Roman" w:hAnsi="Times New Roman" w:cs="Times New Roman"/>
          <w:sz w:val="20"/>
        </w:rPr>
        <w:t>la Direttiva (UE) 2014/65 del Parlamento Europeo e del Consiglio (di seguito, la “</w:t>
      </w:r>
      <w:r w:rsidRPr="00E34A0A">
        <w:rPr>
          <w:rFonts w:ascii="Times New Roman" w:eastAsia="Times New Roman" w:hAnsi="Times New Roman" w:cs="Times New Roman"/>
          <w:b/>
          <w:sz w:val="20"/>
        </w:rPr>
        <w:t>MiFID 2</w:t>
      </w:r>
      <w:r w:rsidRPr="00E34A0A">
        <w:rPr>
          <w:rFonts w:ascii="Times New Roman" w:eastAsia="Times New Roman" w:hAnsi="Times New Roman" w:cs="Times New Roman"/>
          <w:sz w:val="20"/>
        </w:rPr>
        <w:t>”) e la relativa regolamentazione di attuazione, il Regolamento (UE) 600/2014 del Parlamento Europeo e del Consiglio (di seguito, “</w:t>
      </w:r>
      <w:r w:rsidRPr="00E34A0A">
        <w:rPr>
          <w:rFonts w:ascii="Times New Roman" w:eastAsia="Times New Roman" w:hAnsi="Times New Roman" w:cs="Times New Roman"/>
          <w:b/>
          <w:sz w:val="20"/>
        </w:rPr>
        <w:t>MIFIR</w:t>
      </w:r>
      <w:r w:rsidRPr="00E34A0A">
        <w:rPr>
          <w:rFonts w:ascii="Times New Roman" w:eastAsia="Times New Roman" w:hAnsi="Times New Roman" w:cs="Times New Roman"/>
          <w:sz w:val="20"/>
        </w:rPr>
        <w:t>”) e la relativa regolamentazione di attuazione, la Direttiva 2016/97/UE (di seguito, “</w:t>
      </w:r>
      <w:r w:rsidRPr="00E34A0A">
        <w:rPr>
          <w:rFonts w:ascii="Times New Roman" w:eastAsia="Times New Roman" w:hAnsi="Times New Roman" w:cs="Times New Roman"/>
          <w:b/>
          <w:sz w:val="20"/>
        </w:rPr>
        <w:t>IDD</w:t>
      </w:r>
      <w:r w:rsidRPr="00E34A0A">
        <w:rPr>
          <w:rFonts w:ascii="Times New Roman" w:eastAsia="Times New Roman" w:hAnsi="Times New Roman" w:cs="Times New Roman"/>
          <w:sz w:val="20"/>
        </w:rPr>
        <w:t>”</w:t>
      </w:r>
      <w:r w:rsidRPr="00E34A0A">
        <w:rPr>
          <w:rFonts w:ascii="Times New Roman" w:eastAsia="Times New Roman" w:hAnsi="Times New Roman" w:cs="Times New Roman"/>
          <w:b/>
          <w:sz w:val="20"/>
        </w:rPr>
        <w:t>)</w:t>
      </w:r>
      <w:r w:rsidRPr="00E34A0A">
        <w:rPr>
          <w:rFonts w:ascii="Times New Roman" w:eastAsia="Times New Roman" w:hAnsi="Times New Roman" w:cs="Times New Roman"/>
          <w:sz w:val="20"/>
        </w:rPr>
        <w:t xml:space="preserve"> e la relativa regolamentazione di attuazione, </w:t>
      </w:r>
      <w:r w:rsidRPr="00E34A0A">
        <w:rPr>
          <w:rFonts w:ascii="Times New Roman" w:eastAsia="Times New Roman" w:hAnsi="Times New Roman" w:cs="Times New Roman"/>
          <w:sz w:val="20"/>
          <w:szCs w:val="20"/>
        </w:rPr>
        <w:t>il d.lgs. 24 febbraio 1998, n. 58 (di seguito, il “</w:t>
      </w:r>
      <w:r w:rsidRPr="00E34A0A">
        <w:rPr>
          <w:rFonts w:ascii="Times New Roman" w:eastAsia="Times New Roman" w:hAnsi="Times New Roman" w:cs="Times New Roman"/>
          <w:b/>
          <w:sz w:val="20"/>
          <w:szCs w:val="20"/>
        </w:rPr>
        <w:t>TUF</w:t>
      </w:r>
      <w:r w:rsidRPr="00E34A0A">
        <w:rPr>
          <w:rFonts w:ascii="Times New Roman" w:eastAsia="Times New Roman" w:hAnsi="Times New Roman" w:cs="Times New Roman"/>
          <w:sz w:val="20"/>
          <w:szCs w:val="20"/>
        </w:rPr>
        <w:t>”) e successive modifiche e integrazioni, i regolamenti Consob e Banca d’Italia di attuazione, nonché il d.lgs. 1 settembre 1993, n. 385 e successive modifiche e integrazioni (di seguito, il “</w:t>
      </w:r>
      <w:r w:rsidRPr="00E34A0A">
        <w:rPr>
          <w:rFonts w:ascii="Times New Roman" w:eastAsia="Times New Roman" w:hAnsi="Times New Roman" w:cs="Times New Roman"/>
          <w:b/>
          <w:sz w:val="20"/>
          <w:szCs w:val="20"/>
        </w:rPr>
        <w:t>TUB</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sz w:val="20"/>
        </w:rPr>
        <w:t xml:space="preserve"> e la relativa regolamentazione di attuazione</w:t>
      </w:r>
      <w:r w:rsidRPr="00E34A0A">
        <w:rPr>
          <w:rFonts w:ascii="Times New Roman" w:eastAsia="Times New Roman" w:hAnsi="Times New Roman" w:cs="Times New Roman"/>
          <w:sz w:val="20"/>
          <w:szCs w:val="20"/>
        </w:rPr>
        <w:t xml:space="preserve">; la normativa di carattere primario e secondario in materia di contrasto al riciclaggio e al finanziamento del terrorismo, di cui al d.lgs. 21 novembre 2007, n. 231 e successive modifiche e integrazioni, e i relativi provvedimenti di attuazione; la normativa in tema di protezione dei dati personali di cui al </w:t>
      </w:r>
      <w:r w:rsidR="00017B2A">
        <w:rPr>
          <w:rFonts w:ascii="Times New Roman" w:eastAsia="Times New Roman" w:hAnsi="Times New Roman" w:cs="Times New Roman"/>
          <w:sz w:val="20"/>
        </w:rPr>
        <w:t>Regolamento (UE) del 27 aprile 2016 n. 679 (di seguito, il “</w:t>
      </w:r>
      <w:r w:rsidR="00017B2A" w:rsidRPr="00F06A33">
        <w:rPr>
          <w:rFonts w:ascii="Times New Roman" w:eastAsia="Times New Roman" w:hAnsi="Times New Roman" w:cs="Times New Roman"/>
          <w:b/>
          <w:sz w:val="20"/>
        </w:rPr>
        <w:t>GDPR</w:t>
      </w:r>
      <w:r w:rsidR="00017B2A">
        <w:rPr>
          <w:rFonts w:ascii="Times New Roman" w:eastAsia="Times New Roman" w:hAnsi="Times New Roman" w:cs="Times New Roman"/>
          <w:sz w:val="20"/>
        </w:rPr>
        <w:t xml:space="preserve">”) </w:t>
      </w:r>
      <w:r w:rsidR="00017B2A" w:rsidRPr="00124328">
        <w:rPr>
          <w:rFonts w:ascii="Times New Roman" w:eastAsia="Times New Roman" w:hAnsi="Times New Roman" w:cs="Times New Roman"/>
          <w:sz w:val="20"/>
        </w:rPr>
        <w:t xml:space="preserve">e </w:t>
      </w:r>
      <w:r w:rsidR="00017B2A">
        <w:rPr>
          <w:rFonts w:ascii="Times New Roman" w:eastAsia="Times New Roman" w:hAnsi="Times New Roman" w:cs="Times New Roman"/>
          <w:sz w:val="20"/>
        </w:rPr>
        <w:t>al</w:t>
      </w:r>
      <w:r w:rsidR="00017B2A" w:rsidRPr="00124328">
        <w:rPr>
          <w:rFonts w:ascii="Times New Roman" w:eastAsia="Times New Roman" w:hAnsi="Times New Roman" w:cs="Times New Roman"/>
          <w:sz w:val="20"/>
        </w:rPr>
        <w:t xml:space="preserve"> </w:t>
      </w:r>
      <w:r w:rsidRPr="00E34A0A">
        <w:rPr>
          <w:rFonts w:ascii="Times New Roman" w:eastAsia="Times New Roman" w:hAnsi="Times New Roman" w:cs="Times New Roman"/>
          <w:sz w:val="20"/>
          <w:szCs w:val="20"/>
        </w:rPr>
        <w:t xml:space="preserve">d.lgs. 30 giugno 2003, n. 196 </w:t>
      </w:r>
      <w:r w:rsidRPr="00E34A0A">
        <w:rPr>
          <w:rFonts w:ascii="Times New Roman" w:eastAsia="Times New Roman" w:hAnsi="Times New Roman" w:cs="Times New Roman"/>
          <w:sz w:val="20"/>
        </w:rPr>
        <w:t>e successive modifiche e integrazioni</w:t>
      </w:r>
      <w:r w:rsidRPr="00E34A0A">
        <w:rPr>
          <w:rFonts w:ascii="Times New Roman" w:eastAsia="Times New Roman" w:hAnsi="Times New Roman" w:cs="Times New Roman"/>
          <w:sz w:val="20"/>
          <w:szCs w:val="20"/>
        </w:rPr>
        <w:t xml:space="preserve">); </w:t>
      </w:r>
    </w:p>
    <w:p w14:paraId="332E1B02" w14:textId="77777777" w:rsidR="00E34A0A" w:rsidRPr="00E34A0A" w:rsidRDefault="00E34A0A" w:rsidP="00E34A0A">
      <w:pPr>
        <w:ind w:left="705" w:right="141"/>
        <w:jc w:val="both"/>
        <w:rPr>
          <w:rFonts w:ascii="Times New Roman" w:eastAsia="Times New Roman" w:hAnsi="Times New Roman" w:cs="Times New Roman"/>
          <w:sz w:val="20"/>
          <w:szCs w:val="20"/>
        </w:rPr>
      </w:pPr>
    </w:p>
    <w:p w14:paraId="0ACEE72F" w14:textId="0070A2DF" w:rsidR="00E34A0A" w:rsidRPr="00E34A0A" w:rsidRDefault="00E34A0A" w:rsidP="00E34A0A">
      <w:pPr>
        <w:numPr>
          <w:ilvl w:val="0"/>
          <w:numId w:val="20"/>
        </w:num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il Cliente ha esaminato, compreso e accettato i termini del presente contratto e, in tempo utile prima della sottoscrizione di quest’ultimo, ha ricevuto, letto e compreso (</w:t>
      </w:r>
      <w:r w:rsidRPr="00E34A0A">
        <w:rPr>
          <w:rFonts w:ascii="Times New Roman" w:eastAsia="Times New Roman" w:hAnsi="Times New Roman" w:cs="Times New Roman"/>
          <w:sz w:val="20"/>
          <w:szCs w:val="20"/>
          <w:vertAlign w:val="superscript"/>
        </w:rPr>
        <w:footnoteReference w:id="2"/>
      </w:r>
      <w:r w:rsidRPr="00E34A0A">
        <w:rPr>
          <w:rFonts w:ascii="Times New Roman" w:eastAsia="Times New Roman" w:hAnsi="Times New Roman" w:cs="Times New Roman"/>
          <w:sz w:val="20"/>
          <w:szCs w:val="20"/>
        </w:rPr>
        <w:t>): il documento contenente informazioni sulla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e i suoi servizi, sui sistemi di indennizzo degli investitori [</w:t>
      </w:r>
      <w:r w:rsidRPr="00E34A0A">
        <w:rPr>
          <w:rFonts w:ascii="Times New Roman" w:eastAsia="Times New Roman" w:hAnsi="Times New Roman" w:cs="Times New Roman"/>
          <w:i/>
          <w:sz w:val="20"/>
          <w:szCs w:val="20"/>
        </w:rPr>
        <w:t>e di garanzia dei depositi</w:t>
      </w:r>
      <w:r w:rsidRPr="00E34A0A">
        <w:rPr>
          <w:rFonts w:ascii="Times New Roman" w:eastAsia="Times New Roman" w:hAnsi="Times New Roman" w:cs="Times New Roman"/>
          <w:sz w:val="20"/>
          <w:szCs w:val="20"/>
        </w:rPr>
        <w:t>] cui aderisce 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sulla natura e sui rischi degli investimenti in strumenti e prodotti finanziari, sulla classificazione della clientela, sulla politica di gestione dei conflitti di interesse, </w:t>
      </w:r>
      <w:r w:rsidR="000E56ED">
        <w:rPr>
          <w:rFonts w:ascii="Times New Roman" w:eastAsia="Times New Roman" w:hAnsi="Times New Roman" w:cs="Times New Roman"/>
          <w:sz w:val="20"/>
        </w:rPr>
        <w:t xml:space="preserve">sull’integrazione dei rischi di sostenibilità e sugli impatti negativi delle decisioni di investimento sui fattori di sostenibilità, </w:t>
      </w:r>
      <w:r w:rsidRPr="00E34A0A">
        <w:rPr>
          <w:rFonts w:ascii="Times New Roman" w:eastAsia="Times New Roman" w:hAnsi="Times New Roman" w:cs="Times New Roman"/>
          <w:sz w:val="20"/>
          <w:szCs w:val="20"/>
        </w:rPr>
        <w:t xml:space="preserve">sul trattamento dei reclami; </w:t>
      </w:r>
      <w:r w:rsidRPr="00E34A0A">
        <w:rPr>
          <w:rFonts w:ascii="Times New Roman" w:eastAsia="Times New Roman" w:hAnsi="Times New Roman" w:cs="Times New Roman"/>
          <w:sz w:val="20"/>
        </w:rPr>
        <w:t>sulle principali regole di comportamento dei consulenti finanziari abilitati all’offerta fuori sede (di seguito, i “</w:t>
      </w:r>
      <w:r w:rsidRPr="00E34A0A">
        <w:rPr>
          <w:rFonts w:ascii="Times New Roman" w:eastAsia="Times New Roman" w:hAnsi="Times New Roman" w:cs="Times New Roman"/>
          <w:b/>
          <w:sz w:val="20"/>
        </w:rPr>
        <w:t>Consulenti Finanziari</w:t>
      </w:r>
      <w:r w:rsidRPr="00E34A0A">
        <w:rPr>
          <w:rFonts w:ascii="Times New Roman" w:eastAsia="Times New Roman" w:hAnsi="Times New Roman" w:cs="Times New Roman"/>
          <w:sz w:val="20"/>
        </w:rPr>
        <w:t>”)</w:t>
      </w:r>
      <w:r w:rsidRPr="00E34A0A">
        <w:rPr>
          <w:rFonts w:ascii="Times New Roman" w:eastAsia="Times New Roman" w:hAnsi="Times New Roman" w:cs="Times New Roman"/>
          <w:sz w:val="20"/>
          <w:szCs w:val="20"/>
        </w:rPr>
        <w:t>; l’Allegato 1, che descrive i costi e gli oneri associati al servizio di consulenza in materia di investimenti, nonché le informazioni circa gli incentivi eventualmente ricevuti o corrisposti dalla Banca / SIM; l’Allegato 2, contenente l’informativa sul trattamento dei dati personali;</w:t>
      </w:r>
    </w:p>
    <w:p w14:paraId="3E87A62E" w14:textId="77777777" w:rsidR="00E34A0A" w:rsidRPr="00E34A0A" w:rsidRDefault="00E34A0A" w:rsidP="00E34A0A">
      <w:pPr>
        <w:ind w:right="141"/>
        <w:jc w:val="both"/>
        <w:rPr>
          <w:rFonts w:ascii="Times New Roman" w:eastAsia="Times New Roman" w:hAnsi="Times New Roman" w:cs="Times New Roman"/>
          <w:sz w:val="20"/>
          <w:szCs w:val="20"/>
        </w:rPr>
      </w:pPr>
    </w:p>
    <w:p w14:paraId="48279A48" w14:textId="124EA476" w:rsidR="00E34A0A" w:rsidRPr="00E34A0A" w:rsidRDefault="00E34A0A" w:rsidP="000E4B03">
      <w:pPr>
        <w:numPr>
          <w:ilvl w:val="0"/>
          <w:numId w:val="20"/>
        </w:numPr>
        <w:ind w:right="141"/>
        <w:jc w:val="both"/>
        <w:rPr>
          <w:rFonts w:ascii="Times New Roman" w:eastAsia="Times New Roman" w:hAnsi="Times New Roman" w:cs="Times New Roman"/>
          <w:sz w:val="20"/>
        </w:rPr>
      </w:pPr>
      <w:r w:rsidRPr="00E34A0A">
        <w:rPr>
          <w:rFonts w:ascii="Times New Roman" w:eastAsia="Times New Roman" w:hAnsi="Times New Roman" w:cs="Times New Roman"/>
          <w:sz w:val="20"/>
        </w:rPr>
        <w:t xml:space="preserve">gli aggiornamenti, se rilevanti, delle informazioni sull’impresa di investimento e i suoi servizi, sulla natura e sui rischi degli investimenti in strumenti e prodotti finanziari, sulla politica seguita per la gestione dei conflitti di interesse, </w:t>
      </w:r>
      <w:r w:rsidR="000E56ED">
        <w:rPr>
          <w:rFonts w:ascii="Times New Roman" w:eastAsia="Times New Roman" w:hAnsi="Times New Roman" w:cs="Times New Roman"/>
          <w:sz w:val="20"/>
        </w:rPr>
        <w:t xml:space="preserve">sull’integrazione dei rischi di sostenibilità e sugli impatti negativi delle decisioni di investimento sui fattori di sostenibilità, </w:t>
      </w:r>
      <w:r w:rsidRPr="00E34A0A">
        <w:rPr>
          <w:rFonts w:ascii="Times New Roman" w:eastAsia="Times New Roman" w:hAnsi="Times New Roman" w:cs="Times New Roman"/>
          <w:sz w:val="20"/>
        </w:rPr>
        <w:t>sul trattamento dei reclami, nonché le informazioni circa gli incentivi ricevuti o corrisposti dalla [</w:t>
      </w:r>
      <w:r w:rsidRPr="00E34A0A">
        <w:rPr>
          <w:rFonts w:ascii="Times New Roman" w:eastAsia="Times New Roman" w:hAnsi="Times New Roman" w:cs="Times New Roman"/>
          <w:i/>
          <w:sz w:val="20"/>
        </w:rPr>
        <w:t>Banca / SIM</w:t>
      </w:r>
      <w:r w:rsidRPr="00E34A0A">
        <w:rPr>
          <w:rFonts w:ascii="Times New Roman" w:eastAsia="Times New Roman" w:hAnsi="Times New Roman" w:cs="Times New Roman"/>
          <w:sz w:val="20"/>
        </w:rPr>
        <w:t xml:space="preserve">], ove dovuti, </w:t>
      </w:r>
      <w:r w:rsidR="000E4B03">
        <w:rPr>
          <w:rFonts w:ascii="Times New Roman" w:eastAsia="Times New Roman" w:hAnsi="Times New Roman" w:cs="Times New Roman"/>
          <w:sz w:val="20"/>
        </w:rPr>
        <w:t>verranno consegnati</w:t>
      </w:r>
      <w:r w:rsidR="00737156">
        <w:rPr>
          <w:rFonts w:ascii="Times New Roman" w:eastAsia="Times New Roman" w:hAnsi="Times New Roman" w:cs="Times New Roman"/>
          <w:sz w:val="20"/>
        </w:rPr>
        <w:t xml:space="preserve"> </w:t>
      </w:r>
      <w:r w:rsidR="000E4B03">
        <w:rPr>
          <w:rFonts w:ascii="Times New Roman" w:eastAsia="Times New Roman" w:hAnsi="Times New Roman" w:cs="Times New Roman"/>
          <w:sz w:val="20"/>
        </w:rPr>
        <w:t xml:space="preserve">in formato elettronico, </w:t>
      </w:r>
      <w:r w:rsidR="000E4B03" w:rsidRPr="0009326E">
        <w:rPr>
          <w:rFonts w:ascii="Times New Roman" w:eastAsia="Times New Roman" w:hAnsi="Times New Roman" w:cs="Times New Roman"/>
          <w:sz w:val="20"/>
        </w:rPr>
        <w:t>[</w:t>
      </w:r>
      <w:r w:rsidR="000E4B03">
        <w:rPr>
          <w:rFonts w:ascii="Times New Roman" w:eastAsia="Times New Roman" w:hAnsi="Times New Roman" w:cs="Times New Roman"/>
          <w:i/>
          <w:sz w:val="20"/>
        </w:rPr>
        <w:t xml:space="preserve">a mezzo </w:t>
      </w:r>
      <w:r w:rsidR="000E4B03" w:rsidRPr="0009326E">
        <w:rPr>
          <w:rFonts w:ascii="Times New Roman" w:eastAsia="Times New Roman" w:hAnsi="Times New Roman" w:cs="Times New Roman"/>
          <w:i/>
          <w:sz w:val="20"/>
        </w:rPr>
        <w:t xml:space="preserve">e-mail all’indirizzo indicato in anagrafica; </w:t>
      </w:r>
      <w:r w:rsidR="000E4B03">
        <w:rPr>
          <w:rFonts w:ascii="Times New Roman" w:eastAsia="Times New Roman" w:hAnsi="Times New Roman" w:cs="Times New Roman"/>
          <w:i/>
          <w:sz w:val="20"/>
        </w:rPr>
        <w:t xml:space="preserve">tramite </w:t>
      </w:r>
      <w:r w:rsidR="000E4B03" w:rsidRPr="0009326E">
        <w:rPr>
          <w:rFonts w:ascii="Times New Roman" w:eastAsia="Times New Roman" w:hAnsi="Times New Roman" w:cs="Times New Roman"/>
          <w:i/>
          <w:sz w:val="20"/>
        </w:rPr>
        <w:t>messa a disposizione sull’area riservata del sito della Banca / SIM</w:t>
      </w:r>
      <w:r w:rsidR="000E4B03" w:rsidRPr="0009326E">
        <w:rPr>
          <w:rFonts w:ascii="Times New Roman" w:eastAsia="Times New Roman" w:hAnsi="Times New Roman" w:cs="Times New Roman"/>
          <w:sz w:val="20"/>
        </w:rPr>
        <w:t>]</w:t>
      </w:r>
      <w:r w:rsidR="000E4B03">
        <w:rPr>
          <w:rFonts w:ascii="Times New Roman" w:eastAsia="Times New Roman" w:hAnsi="Times New Roman" w:cs="Times New Roman"/>
          <w:sz w:val="20"/>
        </w:rPr>
        <w:t xml:space="preserve">. </w:t>
      </w:r>
      <w:r w:rsidR="000E4B03" w:rsidRPr="001372A3">
        <w:rPr>
          <w:rFonts w:ascii="Times New Roman" w:eastAsia="Times New Roman" w:hAnsi="Times New Roman" w:cs="Times New Roman"/>
          <w:sz w:val="20"/>
        </w:rPr>
        <w:t>Il Cliente ha in ogni caso la possibilità di richiedere, mediante la compilazione di apposito modulo</w:t>
      </w:r>
      <w:r w:rsidR="000E4B03">
        <w:rPr>
          <w:rFonts w:ascii="Times New Roman" w:eastAsia="Times New Roman" w:hAnsi="Times New Roman" w:cs="Times New Roman"/>
          <w:sz w:val="20"/>
        </w:rPr>
        <w:t xml:space="preserve"> messo a disposizione dalla </w:t>
      </w:r>
      <w:r w:rsidR="000E4B03" w:rsidRPr="0009326E">
        <w:rPr>
          <w:rFonts w:ascii="Times New Roman" w:eastAsia="Times New Roman" w:hAnsi="Times New Roman" w:cs="Times New Roman"/>
          <w:sz w:val="20"/>
        </w:rPr>
        <w:t>[</w:t>
      </w:r>
      <w:r w:rsidR="000E4B03" w:rsidRPr="0009326E">
        <w:rPr>
          <w:rFonts w:ascii="Times New Roman" w:eastAsia="Times New Roman" w:hAnsi="Times New Roman" w:cs="Times New Roman"/>
          <w:i/>
          <w:sz w:val="20"/>
        </w:rPr>
        <w:t>Banca / SIM</w:t>
      </w:r>
      <w:r w:rsidR="000E4B03" w:rsidRPr="0009326E">
        <w:rPr>
          <w:rFonts w:ascii="Times New Roman" w:eastAsia="Times New Roman" w:hAnsi="Times New Roman" w:cs="Times New Roman"/>
          <w:sz w:val="20"/>
        </w:rPr>
        <w:t>]</w:t>
      </w:r>
      <w:r w:rsidR="000E4B03" w:rsidRPr="001372A3">
        <w:rPr>
          <w:rFonts w:ascii="Times New Roman" w:eastAsia="Times New Roman" w:hAnsi="Times New Roman" w:cs="Times New Roman"/>
          <w:sz w:val="20"/>
        </w:rPr>
        <w:t>, che le suddette informazioni gli vengano fornite, a titolo gratuito, su supporto cartaceo</w:t>
      </w:r>
      <w:r w:rsidR="000E4B03">
        <w:rPr>
          <w:rFonts w:ascii="Times New Roman" w:eastAsia="Times New Roman" w:hAnsi="Times New Roman" w:cs="Times New Roman"/>
          <w:sz w:val="20"/>
        </w:rPr>
        <w:t>.</w:t>
      </w:r>
    </w:p>
    <w:p w14:paraId="3256959F" w14:textId="77777777" w:rsidR="00E34A0A" w:rsidRPr="00E34A0A" w:rsidRDefault="00E34A0A" w:rsidP="00E34A0A">
      <w:pPr>
        <w:ind w:right="141"/>
        <w:jc w:val="both"/>
        <w:rPr>
          <w:rFonts w:ascii="Times New Roman" w:eastAsia="Times New Roman" w:hAnsi="Times New Roman" w:cs="Times New Roman"/>
          <w:sz w:val="20"/>
        </w:rPr>
      </w:pPr>
    </w:p>
    <w:p w14:paraId="3EB6C9F5" w14:textId="681B8A3C" w:rsidR="00E34A0A" w:rsidRPr="00E34A0A" w:rsidRDefault="00E34A0A" w:rsidP="00E34A0A">
      <w:pPr>
        <w:numPr>
          <w:ilvl w:val="0"/>
          <w:numId w:val="20"/>
        </w:num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 xml:space="preserve">il Cliente </w:t>
      </w:r>
      <w:r w:rsidRPr="00E34A0A">
        <w:rPr>
          <w:rFonts w:ascii="Times New Roman" w:eastAsia="Times New Roman" w:hAnsi="Times New Roman" w:cs="Times New Roman"/>
          <w:sz w:val="20"/>
        </w:rPr>
        <w:t xml:space="preserve">ha ricevuto e compilato, prima della conclusione del presente contratto, il questionario per la valutazione della propria conoscenza ed esperienza in materia di </w:t>
      </w:r>
      <w:r w:rsidRPr="00E34A0A">
        <w:rPr>
          <w:rFonts w:ascii="Times New Roman" w:eastAsia="Times New Roman" w:hAnsi="Times New Roman" w:cs="Times New Roman"/>
          <w:sz w:val="20"/>
        </w:rPr>
        <w:lastRenderedPageBreak/>
        <w:t>investimenti in strumenti finanziari, la propria situazione finanziaria, ivi compresa la propria capacità di sostenere le perdite, e i propri obiettivi di investimento, ivi compresa la propria tolleranza al rischio</w:t>
      </w:r>
      <w:r w:rsidR="000D35AA">
        <w:rPr>
          <w:rFonts w:ascii="Times New Roman" w:eastAsia="Times New Roman" w:hAnsi="Times New Roman" w:cs="Times New Roman"/>
          <w:sz w:val="20"/>
        </w:rPr>
        <w:t xml:space="preserve"> e le sue eventuali preferenze di sostenibilità</w:t>
      </w:r>
      <w:r w:rsidRPr="00E34A0A">
        <w:rPr>
          <w:rFonts w:ascii="Times New Roman" w:eastAsia="Times New Roman" w:hAnsi="Times New Roman" w:cs="Times New Roman"/>
          <w:sz w:val="20"/>
        </w:rPr>
        <w:t xml:space="preserve"> (di seguito, il “</w:t>
      </w:r>
      <w:r w:rsidRPr="00E34A0A">
        <w:rPr>
          <w:rFonts w:ascii="Times New Roman" w:eastAsia="Times New Roman" w:hAnsi="Times New Roman" w:cs="Times New Roman"/>
          <w:b/>
          <w:sz w:val="20"/>
        </w:rPr>
        <w:t>Questionario</w:t>
      </w:r>
      <w:r w:rsidRPr="00E34A0A">
        <w:rPr>
          <w:rFonts w:ascii="Times New Roman" w:eastAsia="Times New Roman" w:hAnsi="Times New Roman" w:cs="Times New Roman"/>
          <w:sz w:val="20"/>
        </w:rPr>
        <w:t>”);</w:t>
      </w:r>
    </w:p>
    <w:p w14:paraId="056E83A4" w14:textId="77777777" w:rsidR="00E34A0A" w:rsidRPr="00E34A0A" w:rsidRDefault="00E34A0A" w:rsidP="00E34A0A">
      <w:pPr>
        <w:ind w:left="705" w:right="141"/>
        <w:jc w:val="both"/>
        <w:rPr>
          <w:rFonts w:ascii="Times New Roman" w:eastAsia="Times New Roman" w:hAnsi="Times New Roman" w:cs="Times New Roman"/>
          <w:sz w:val="20"/>
          <w:szCs w:val="20"/>
        </w:rPr>
      </w:pPr>
    </w:p>
    <w:p w14:paraId="7BBCD090" w14:textId="77777777" w:rsidR="00E34A0A" w:rsidRPr="00E34A0A" w:rsidRDefault="00E34A0A" w:rsidP="00E34A0A">
      <w:pPr>
        <w:numPr>
          <w:ilvl w:val="0"/>
          <w:numId w:val="20"/>
        </w:num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il Cliente ha compreso lo scopo della valutazione di adeguatezza ed è a conoscenza del fatto che la raccolta delle informazioni tramite il Questionario è finalizzata all’acquisizione, da parte della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di una piena conoscenza delle sue caratteristiche, dei suoi bisogni e della sua tolleranza al rischio tali da consentire la cura del suo miglior interesse;</w:t>
      </w:r>
    </w:p>
    <w:p w14:paraId="159A280A" w14:textId="77777777" w:rsidR="00E34A0A" w:rsidRPr="00E34A0A" w:rsidRDefault="00E34A0A" w:rsidP="00E34A0A">
      <w:pPr>
        <w:ind w:right="141"/>
        <w:jc w:val="both"/>
        <w:rPr>
          <w:rFonts w:ascii="Times New Roman" w:eastAsia="Times New Roman" w:hAnsi="Times New Roman" w:cs="Times New Roman"/>
          <w:sz w:val="20"/>
          <w:szCs w:val="20"/>
        </w:rPr>
      </w:pPr>
    </w:p>
    <w:p w14:paraId="55FEC7B2" w14:textId="77777777" w:rsidR="00E34A0A" w:rsidRPr="00E34A0A" w:rsidRDefault="00E34A0A" w:rsidP="00E34A0A">
      <w:pPr>
        <w:numPr>
          <w:ilvl w:val="0"/>
          <w:numId w:val="20"/>
        </w:num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il Cliente è stato debitamente informato, prima della conclusione del contratto, della correlazione esistente tra il rendimento atteso e la rischiosità di un investimento in prodotti e strumenti finanziari, tale per cui a un rendimento più alto corrisponde una maggiore esposizione al rischio di subire perdite;</w:t>
      </w:r>
    </w:p>
    <w:p w14:paraId="2A3FDD1E" w14:textId="77777777" w:rsidR="00E34A0A" w:rsidRPr="00E34A0A" w:rsidRDefault="00E34A0A" w:rsidP="00E34A0A">
      <w:pPr>
        <w:ind w:left="705" w:right="141"/>
        <w:jc w:val="both"/>
        <w:rPr>
          <w:rFonts w:ascii="Times New Roman" w:eastAsia="Times New Roman" w:hAnsi="Times New Roman" w:cs="Times New Roman"/>
          <w:sz w:val="20"/>
          <w:szCs w:val="20"/>
        </w:rPr>
      </w:pPr>
    </w:p>
    <w:p w14:paraId="6F129F7D" w14:textId="77777777" w:rsidR="00E34A0A" w:rsidRPr="00E34A0A" w:rsidRDefault="00E34A0A" w:rsidP="00E34A0A">
      <w:pPr>
        <w:numPr>
          <w:ilvl w:val="0"/>
          <w:numId w:val="20"/>
        </w:num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sulla base delle informazioni fornitegli, la [</w:t>
      </w:r>
      <w:r w:rsidRPr="00E34A0A">
        <w:rPr>
          <w:rFonts w:ascii="Times New Roman" w:eastAsia="Times New Roman" w:hAnsi="Times New Roman" w:cs="Times New Roman"/>
          <w:i/>
          <w:sz w:val="20"/>
          <w:szCs w:val="20"/>
        </w:rPr>
        <w:t>Banca</w:t>
      </w:r>
      <w:r w:rsidRPr="00E34A0A">
        <w:rPr>
          <w:rFonts w:ascii="Times New Roman" w:eastAsia="Times New Roman" w:hAnsi="Times New Roman" w:cs="Times New Roman"/>
          <w:sz w:val="20"/>
          <w:szCs w:val="20"/>
        </w:rPr>
        <w:t xml:space="preserve"> / </w:t>
      </w:r>
      <w:r w:rsidRPr="00E34A0A">
        <w:rPr>
          <w:rFonts w:ascii="Times New Roman" w:eastAsia="Times New Roman" w:hAnsi="Times New Roman" w:cs="Times New Roman"/>
          <w:i/>
          <w:sz w:val="20"/>
          <w:szCs w:val="20"/>
        </w:rPr>
        <w:t>SIM</w:t>
      </w:r>
      <w:r w:rsidRPr="00E34A0A">
        <w:rPr>
          <w:rFonts w:ascii="Times New Roman" w:eastAsia="Times New Roman" w:hAnsi="Times New Roman" w:cs="Times New Roman"/>
          <w:sz w:val="20"/>
          <w:szCs w:val="20"/>
        </w:rPr>
        <w:t>] ha classificato il Cliente come “cliente al dettaglio”;</w:t>
      </w:r>
    </w:p>
    <w:p w14:paraId="387D6536" w14:textId="77777777" w:rsidR="00E34A0A" w:rsidRPr="00E34A0A" w:rsidRDefault="00E34A0A" w:rsidP="00E34A0A">
      <w:pPr>
        <w:ind w:left="705" w:right="141"/>
        <w:jc w:val="both"/>
        <w:rPr>
          <w:rFonts w:ascii="Times New Roman" w:eastAsia="Times New Roman" w:hAnsi="Times New Roman" w:cs="Times New Roman"/>
          <w:sz w:val="20"/>
          <w:szCs w:val="20"/>
        </w:rPr>
      </w:pPr>
    </w:p>
    <w:p w14:paraId="3DA0AA8D" w14:textId="736E1675" w:rsidR="00E34A0A" w:rsidRPr="00E34A0A" w:rsidRDefault="00E34A0A" w:rsidP="00E34A0A">
      <w:pPr>
        <w:numPr>
          <w:ilvl w:val="0"/>
          <w:numId w:val="20"/>
        </w:num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in caso di conclusione del presente contratto a distanza e qualora il Cliente sia un consumatore ai sensi del d.lgs. 6 settembre 2005, n. 206, l’efficacia del contratto è sospesa per un periodo di quattordici giorni. Entro tale termine, il Cliente può recedere dal contratto, senza spese e penalità e senza giustificarne il motivo, inviando una comunicazione scritta alla [</w:t>
      </w:r>
      <w:r w:rsidRPr="00E34A0A">
        <w:rPr>
          <w:rFonts w:ascii="Times New Roman" w:eastAsia="Times New Roman" w:hAnsi="Times New Roman" w:cs="Times New Roman"/>
          <w:i/>
          <w:sz w:val="20"/>
          <w:szCs w:val="20"/>
        </w:rPr>
        <w:t>Banca</w:t>
      </w:r>
      <w:r w:rsidRPr="00E34A0A">
        <w:rPr>
          <w:rFonts w:ascii="Times New Roman" w:eastAsia="Times New Roman" w:hAnsi="Times New Roman" w:cs="Times New Roman"/>
          <w:sz w:val="20"/>
          <w:szCs w:val="20"/>
        </w:rPr>
        <w:t xml:space="preserve"> / </w:t>
      </w:r>
      <w:r w:rsidRPr="00E34A0A">
        <w:rPr>
          <w:rFonts w:ascii="Times New Roman" w:eastAsia="Times New Roman" w:hAnsi="Times New Roman" w:cs="Times New Roman"/>
          <w:i/>
          <w:sz w:val="20"/>
          <w:szCs w:val="20"/>
        </w:rPr>
        <w:t>SIM</w:t>
      </w:r>
      <w:r w:rsidRPr="00E34A0A">
        <w:rPr>
          <w:rFonts w:ascii="Times New Roman" w:eastAsia="Times New Roman" w:hAnsi="Times New Roman" w:cs="Times New Roman"/>
          <w:sz w:val="20"/>
          <w:szCs w:val="20"/>
        </w:rPr>
        <w:t xml:space="preserve">] mediante lettera raccomandata con avviso di ricevimento, oppure mediante posta elettronica, purché </w:t>
      </w:r>
      <w:r w:rsidR="00E12504" w:rsidRPr="00E34A0A">
        <w:rPr>
          <w:rFonts w:ascii="Times New Roman" w:eastAsia="Times New Roman" w:hAnsi="Times New Roman" w:cs="Times New Roman"/>
          <w:sz w:val="20"/>
          <w:szCs w:val="20"/>
        </w:rPr>
        <w:t>confermat</w:t>
      </w:r>
      <w:r w:rsidR="00E12504">
        <w:rPr>
          <w:rFonts w:ascii="Times New Roman" w:eastAsia="Times New Roman" w:hAnsi="Times New Roman" w:cs="Times New Roman"/>
          <w:sz w:val="20"/>
          <w:szCs w:val="20"/>
        </w:rPr>
        <w:t>a</w:t>
      </w:r>
      <w:r w:rsidR="00E12504" w:rsidRPr="00E34A0A">
        <w:rPr>
          <w:rFonts w:ascii="Times New Roman" w:eastAsia="Times New Roman" w:hAnsi="Times New Roman" w:cs="Times New Roman"/>
          <w:sz w:val="20"/>
          <w:szCs w:val="20"/>
        </w:rPr>
        <w:t xml:space="preserve"> </w:t>
      </w:r>
      <w:r w:rsidRPr="00E34A0A">
        <w:rPr>
          <w:rFonts w:ascii="Times New Roman" w:eastAsia="Times New Roman" w:hAnsi="Times New Roman" w:cs="Times New Roman"/>
          <w:sz w:val="20"/>
          <w:szCs w:val="20"/>
        </w:rPr>
        <w:t>tramite lettera raccomandata con avviso di ricevimento entro le quarantotto ore successive;</w:t>
      </w:r>
    </w:p>
    <w:p w14:paraId="57BBA635" w14:textId="77777777" w:rsidR="00E34A0A" w:rsidRPr="00E34A0A" w:rsidRDefault="00E34A0A" w:rsidP="00E34A0A">
      <w:pPr>
        <w:tabs>
          <w:tab w:val="left" w:pos="709"/>
        </w:tabs>
        <w:ind w:left="720" w:right="141" w:hanging="716"/>
        <w:jc w:val="both"/>
        <w:rPr>
          <w:rFonts w:ascii="Times New Roman" w:eastAsia="Times New Roman" w:hAnsi="Times New Roman" w:cs="Times New Roman"/>
          <w:sz w:val="20"/>
          <w:szCs w:val="20"/>
        </w:rPr>
      </w:pPr>
    </w:p>
    <w:p w14:paraId="54E427EE" w14:textId="17FDD4E2" w:rsidR="00E34A0A" w:rsidRPr="00E34A0A" w:rsidRDefault="00EC77CA" w:rsidP="00E34A0A">
      <w:pPr>
        <w:numPr>
          <w:ilvl w:val="0"/>
          <w:numId w:val="20"/>
        </w:numPr>
        <w:ind w:right="141"/>
        <w:jc w:val="both"/>
        <w:rPr>
          <w:rFonts w:ascii="Times New Roman" w:eastAsia="Times New Roman" w:hAnsi="Times New Roman" w:cs="Times New Roman"/>
          <w:sz w:val="20"/>
        </w:rPr>
      </w:pPr>
      <w:r>
        <w:rPr>
          <w:rFonts w:ascii="Times New Roman" w:eastAsia="Times New Roman" w:hAnsi="Times New Roman" w:cs="Times New Roman"/>
          <w:sz w:val="20"/>
        </w:rPr>
        <w:t>tutte</w:t>
      </w:r>
      <w:r w:rsidR="00E34A0A" w:rsidRPr="00E34A0A">
        <w:rPr>
          <w:rFonts w:ascii="Times New Roman" w:eastAsia="Times New Roman" w:hAnsi="Times New Roman" w:cs="Times New Roman"/>
          <w:sz w:val="20"/>
        </w:rPr>
        <w:t xml:space="preserve"> le comunicazioni in corso di rapporto per le quali la Normativa di Riferimento impone il supporto durevole</w:t>
      </w:r>
      <w:r>
        <w:rPr>
          <w:rFonts w:ascii="Times New Roman" w:eastAsia="Times New Roman" w:hAnsi="Times New Roman" w:cs="Times New Roman"/>
          <w:sz w:val="20"/>
        </w:rPr>
        <w:t xml:space="preserve"> verranno consegnate, salva diversa ed espressa richiesta del Cliente, in formato elettronico, </w:t>
      </w:r>
      <w:r w:rsidRPr="0009326E">
        <w:rPr>
          <w:rFonts w:ascii="Times New Roman" w:eastAsia="Times New Roman" w:hAnsi="Times New Roman" w:cs="Times New Roman"/>
          <w:sz w:val="20"/>
        </w:rPr>
        <w:t>[</w:t>
      </w:r>
      <w:r>
        <w:rPr>
          <w:rFonts w:ascii="Times New Roman" w:eastAsia="Times New Roman" w:hAnsi="Times New Roman" w:cs="Times New Roman"/>
          <w:i/>
          <w:sz w:val="20"/>
        </w:rPr>
        <w:t xml:space="preserve">a mezzo </w:t>
      </w:r>
      <w:r w:rsidRPr="0009326E">
        <w:rPr>
          <w:rFonts w:ascii="Times New Roman" w:eastAsia="Times New Roman" w:hAnsi="Times New Roman" w:cs="Times New Roman"/>
          <w:i/>
          <w:sz w:val="20"/>
        </w:rPr>
        <w:t xml:space="preserve">e-mail all’indirizzo indicato in </w:t>
      </w:r>
      <w:proofErr w:type="gramStart"/>
      <w:r w:rsidRPr="0009326E">
        <w:rPr>
          <w:rFonts w:ascii="Times New Roman" w:eastAsia="Times New Roman" w:hAnsi="Times New Roman" w:cs="Times New Roman"/>
          <w:i/>
          <w:sz w:val="20"/>
        </w:rPr>
        <w:t>anagrafica;</w:t>
      </w:r>
      <w:proofErr w:type="gramEnd"/>
      <w:r w:rsidRPr="0009326E">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tramite </w:t>
      </w:r>
      <w:r w:rsidRPr="0009326E">
        <w:rPr>
          <w:rFonts w:ascii="Times New Roman" w:eastAsia="Times New Roman" w:hAnsi="Times New Roman" w:cs="Times New Roman"/>
          <w:i/>
          <w:sz w:val="20"/>
        </w:rPr>
        <w:t>messa a disposizione sull’area riservata del sito della Banca / SIM</w:t>
      </w:r>
      <w:r w:rsidRPr="0009326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1372A3">
        <w:rPr>
          <w:rFonts w:ascii="Times New Roman" w:eastAsia="Times New Roman" w:hAnsi="Times New Roman" w:cs="Times New Roman"/>
          <w:sz w:val="20"/>
        </w:rPr>
        <w:t>Il Cliente ha in ogni caso la possibilità di richiedere, mediante la compilazione di apposito modulo</w:t>
      </w:r>
      <w:r>
        <w:rPr>
          <w:rFonts w:ascii="Times New Roman" w:eastAsia="Times New Roman" w:hAnsi="Times New Roman" w:cs="Times New Roman"/>
          <w:sz w:val="20"/>
        </w:rPr>
        <w:t xml:space="preserve"> messo a disposizione dalla </w:t>
      </w:r>
      <w:r w:rsidRPr="0009326E">
        <w:rPr>
          <w:rFonts w:ascii="Times New Roman" w:eastAsia="Times New Roman" w:hAnsi="Times New Roman" w:cs="Times New Roman"/>
          <w:sz w:val="20"/>
        </w:rPr>
        <w:t>[</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w:t>
      </w:r>
      <w:r w:rsidRPr="001372A3">
        <w:rPr>
          <w:rFonts w:ascii="Times New Roman" w:eastAsia="Times New Roman" w:hAnsi="Times New Roman" w:cs="Times New Roman"/>
          <w:sz w:val="20"/>
        </w:rPr>
        <w:t>, che le suddette informazioni gli vengano fornite, a titolo gratuito, su supporto cartaceo</w:t>
      </w:r>
    </w:p>
    <w:p w14:paraId="4FDCA5C9" w14:textId="77777777" w:rsidR="00E34A0A" w:rsidRPr="00E34A0A" w:rsidRDefault="00E34A0A" w:rsidP="00E34A0A">
      <w:pPr>
        <w:ind w:right="141"/>
        <w:jc w:val="both"/>
        <w:rPr>
          <w:rFonts w:ascii="Times New Roman" w:eastAsia="Times New Roman" w:hAnsi="Times New Roman" w:cs="Times New Roman"/>
          <w:sz w:val="20"/>
        </w:rPr>
      </w:pPr>
    </w:p>
    <w:p w14:paraId="440C065A" w14:textId="77777777" w:rsidR="00E34A0A" w:rsidRPr="00E34A0A" w:rsidRDefault="00E34A0A" w:rsidP="00E34A0A">
      <w:pPr>
        <w:ind w:left="720" w:right="141"/>
        <w:jc w:val="both"/>
        <w:rPr>
          <w:rFonts w:ascii="Times New Roman" w:eastAsia="Times New Roman" w:hAnsi="Times New Roman" w:cs="Times New Roman"/>
          <w:sz w:val="20"/>
          <w:szCs w:val="20"/>
        </w:rPr>
      </w:pPr>
    </w:p>
    <w:p w14:paraId="1C5C8FB3" w14:textId="77777777" w:rsidR="00E34A0A" w:rsidRPr="00E34A0A" w:rsidRDefault="00E34A0A" w:rsidP="00E34A0A">
      <w:pPr>
        <w:ind w:right="141"/>
        <w:jc w:val="center"/>
        <w:rPr>
          <w:rFonts w:ascii="Times New Roman" w:eastAsia="Times New Roman" w:hAnsi="Times New Roman" w:cs="Times New Roman"/>
          <w:b/>
          <w:sz w:val="20"/>
          <w:szCs w:val="20"/>
        </w:rPr>
      </w:pPr>
    </w:p>
    <w:p w14:paraId="26019A2C" w14:textId="77777777" w:rsidR="00E34A0A" w:rsidRPr="00E34A0A" w:rsidRDefault="00E34A0A" w:rsidP="00E34A0A">
      <w:pPr>
        <w:ind w:right="141"/>
        <w:jc w:val="center"/>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TUTTO CIÒ PREMESSO,</w:t>
      </w:r>
    </w:p>
    <w:p w14:paraId="26846327" w14:textId="77777777" w:rsidR="00E34A0A" w:rsidRPr="00E34A0A" w:rsidRDefault="00E34A0A" w:rsidP="00E34A0A">
      <w:pPr>
        <w:ind w:right="141"/>
        <w:jc w:val="center"/>
        <w:rPr>
          <w:rFonts w:ascii="Times New Roman" w:eastAsia="Times New Roman" w:hAnsi="Times New Roman" w:cs="Times New Roman"/>
          <w:b/>
          <w:sz w:val="20"/>
          <w:szCs w:val="20"/>
        </w:rPr>
      </w:pPr>
    </w:p>
    <w:p w14:paraId="3FDC887D"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il Cliente conferisce alla [Banca / SIM] l’incarico di prestare in suo favore il servizio di consulenza in materia di investimenti, come definito dall’art. 1, comma 5-septies, del d.lgs. 24 febbraio 1998, n. 58, come di volta in volta modificato e integrato (</w:t>
      </w:r>
      <w:r w:rsidRPr="00E34A0A">
        <w:rPr>
          <w:rFonts w:ascii="Times New Roman" w:eastAsia="Times New Roman" w:hAnsi="Times New Roman" w:cs="Times New Roman"/>
          <w:sz w:val="20"/>
        </w:rPr>
        <w:t>di seguito, il “</w:t>
      </w:r>
      <w:r w:rsidRPr="00E34A0A">
        <w:rPr>
          <w:rFonts w:ascii="Times New Roman" w:eastAsia="Times New Roman" w:hAnsi="Times New Roman" w:cs="Times New Roman"/>
          <w:b/>
          <w:sz w:val="20"/>
        </w:rPr>
        <w:t>Servizio</w:t>
      </w:r>
      <w:r w:rsidRPr="00E34A0A">
        <w:rPr>
          <w:rFonts w:ascii="Times New Roman" w:eastAsia="Times New Roman" w:hAnsi="Times New Roman" w:cs="Times New Roman"/>
          <w:sz w:val="20"/>
        </w:rPr>
        <w:t>”</w:t>
      </w:r>
      <w:r w:rsidRPr="00E34A0A">
        <w:rPr>
          <w:rFonts w:ascii="Times New Roman" w:eastAsia="Times New Roman" w:hAnsi="Times New Roman" w:cs="Times New Roman"/>
          <w:sz w:val="20"/>
          <w:szCs w:val="20"/>
        </w:rPr>
        <w:t xml:space="preserve">), nei termini e alle condizioni che seguono. </w:t>
      </w:r>
    </w:p>
    <w:p w14:paraId="0A6CFB88" w14:textId="77777777" w:rsidR="00E34A0A" w:rsidRPr="00E34A0A" w:rsidRDefault="00E34A0A" w:rsidP="00E34A0A">
      <w:pPr>
        <w:ind w:right="141"/>
        <w:jc w:val="center"/>
        <w:rPr>
          <w:rFonts w:ascii="Times New Roman" w:eastAsia="Times New Roman" w:hAnsi="Times New Roman" w:cs="Times New Roman"/>
          <w:b/>
          <w:sz w:val="20"/>
          <w:szCs w:val="20"/>
        </w:rPr>
      </w:pPr>
    </w:p>
    <w:p w14:paraId="11FA34E6" w14:textId="77777777" w:rsidR="00E34A0A" w:rsidRPr="00E34A0A" w:rsidRDefault="00E34A0A" w:rsidP="00E34A0A">
      <w:pPr>
        <w:ind w:right="141"/>
        <w:jc w:val="center"/>
        <w:rPr>
          <w:rFonts w:ascii="Times New Roman" w:eastAsia="Times New Roman" w:hAnsi="Times New Roman" w:cs="Times New Roman"/>
          <w:b/>
          <w:sz w:val="20"/>
          <w:szCs w:val="20"/>
        </w:rPr>
      </w:pPr>
    </w:p>
    <w:p w14:paraId="46CC20A3" w14:textId="77777777" w:rsidR="00E34A0A" w:rsidRPr="00E34A0A" w:rsidRDefault="00E34A0A" w:rsidP="00E34A0A">
      <w:pPr>
        <w:ind w:right="141"/>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1.</w:t>
      </w:r>
      <w:r w:rsidRPr="00E34A0A">
        <w:rPr>
          <w:rFonts w:ascii="Times New Roman" w:eastAsia="Times New Roman" w:hAnsi="Times New Roman" w:cs="Times New Roman"/>
          <w:b/>
          <w:sz w:val="20"/>
          <w:szCs w:val="20"/>
        </w:rPr>
        <w:tab/>
        <w:t>Premesse e allegati</w:t>
      </w:r>
    </w:p>
    <w:p w14:paraId="200CF930" w14:textId="77777777" w:rsidR="00E34A0A" w:rsidRPr="00E34A0A" w:rsidRDefault="00E34A0A" w:rsidP="00E34A0A">
      <w:pPr>
        <w:ind w:right="141"/>
        <w:jc w:val="both"/>
        <w:rPr>
          <w:rFonts w:ascii="Times New Roman" w:eastAsia="Times New Roman" w:hAnsi="Times New Roman" w:cs="Times New Roman"/>
          <w:b/>
          <w:sz w:val="20"/>
          <w:szCs w:val="20"/>
        </w:rPr>
      </w:pPr>
    </w:p>
    <w:p w14:paraId="2CC07676" w14:textId="77777777" w:rsidR="00E34A0A" w:rsidRPr="00E34A0A" w:rsidRDefault="00E34A0A" w:rsidP="00E34A0A">
      <w:pPr>
        <w:ind w:left="709"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Le premesse e gli allegati indicati alla lettera b) delle premesse rappresentano parte integrante e sostanziale del presente accordo.</w:t>
      </w:r>
    </w:p>
    <w:p w14:paraId="6E8D6667" w14:textId="77777777" w:rsidR="00E34A0A" w:rsidRPr="00E34A0A" w:rsidRDefault="00E34A0A" w:rsidP="00E34A0A">
      <w:pPr>
        <w:ind w:right="141"/>
        <w:jc w:val="both"/>
        <w:rPr>
          <w:rFonts w:ascii="Times New Roman" w:eastAsia="Times New Roman" w:hAnsi="Times New Roman" w:cs="Times New Roman"/>
          <w:sz w:val="20"/>
          <w:szCs w:val="20"/>
        </w:rPr>
      </w:pPr>
    </w:p>
    <w:p w14:paraId="419E7FF1" w14:textId="77777777" w:rsidR="00E34A0A" w:rsidRPr="00E34A0A" w:rsidRDefault="00E34A0A" w:rsidP="00E34A0A">
      <w:pPr>
        <w:ind w:right="141"/>
        <w:jc w:val="both"/>
        <w:rPr>
          <w:rFonts w:ascii="Times New Roman" w:eastAsia="Times New Roman" w:hAnsi="Times New Roman" w:cs="Times New Roman"/>
          <w:b/>
          <w:sz w:val="20"/>
        </w:rPr>
      </w:pPr>
      <w:r w:rsidRPr="00E34A0A">
        <w:rPr>
          <w:rFonts w:ascii="Times New Roman" w:eastAsia="Times New Roman" w:hAnsi="Times New Roman" w:cs="Times New Roman"/>
          <w:b/>
          <w:sz w:val="20"/>
        </w:rPr>
        <w:t>2.</w:t>
      </w:r>
      <w:r w:rsidRPr="00E34A0A">
        <w:rPr>
          <w:rFonts w:ascii="Times New Roman" w:eastAsia="Times New Roman" w:hAnsi="Times New Roman" w:cs="Times New Roman"/>
          <w:b/>
          <w:sz w:val="20"/>
        </w:rPr>
        <w:tab/>
        <w:t>Rischi delle operazioni</w:t>
      </w:r>
    </w:p>
    <w:p w14:paraId="789F2A92" w14:textId="77777777" w:rsidR="00E34A0A" w:rsidRPr="00E34A0A" w:rsidRDefault="00E34A0A" w:rsidP="00E34A0A">
      <w:pPr>
        <w:ind w:right="141"/>
        <w:jc w:val="both"/>
        <w:rPr>
          <w:rFonts w:ascii="Times New Roman" w:eastAsia="Times New Roman" w:hAnsi="Times New Roman" w:cs="Times New Roman"/>
          <w:b/>
          <w:sz w:val="20"/>
        </w:rPr>
      </w:pPr>
    </w:p>
    <w:p w14:paraId="0D312412" w14:textId="77777777" w:rsidR="00E34A0A" w:rsidRPr="00E34A0A" w:rsidRDefault="00E34A0A" w:rsidP="00E34A0A">
      <w:pPr>
        <w:ind w:left="709" w:right="141"/>
        <w:jc w:val="both"/>
        <w:rPr>
          <w:rFonts w:ascii="Times New Roman" w:eastAsia="Times New Roman" w:hAnsi="Times New Roman" w:cs="Times New Roman"/>
          <w:sz w:val="20"/>
        </w:rPr>
      </w:pPr>
      <w:r w:rsidRPr="00E34A0A">
        <w:rPr>
          <w:rFonts w:ascii="Times New Roman" w:eastAsia="Times New Roman" w:hAnsi="Times New Roman" w:cs="Times New Roman"/>
          <w:sz w:val="20"/>
        </w:rPr>
        <w:t xml:space="preserve">Il Cliente, ferme restando le indicazioni specifiche sui singoli rischi legati agli investimenti in strumenti e prodotti </w:t>
      </w:r>
      <w:r w:rsidRPr="00E34A0A">
        <w:rPr>
          <w:rFonts w:ascii="Times New Roman" w:eastAsia="Times New Roman" w:hAnsi="Times New Roman" w:cs="Times New Roman"/>
          <w:sz w:val="20"/>
          <w:szCs w:val="20"/>
        </w:rPr>
        <w:t>finanziari</w:t>
      </w:r>
      <w:r w:rsidRPr="00E34A0A">
        <w:rPr>
          <w:rFonts w:ascii="Times New Roman" w:eastAsia="Times New Roman" w:hAnsi="Times New Roman" w:cs="Times New Roman"/>
          <w:sz w:val="20"/>
        </w:rPr>
        <w:t xml:space="preserve"> di cui al documento informativo ricevuto in tempo utile prima della sottoscrizione del contratto, essendo consapevole che ogni operazione è da lui compiuta autonomamente, a sue spese e a suo rischio, si dichiara pienamente informato di quanto segue:</w:t>
      </w:r>
    </w:p>
    <w:p w14:paraId="314171EC" w14:textId="77777777" w:rsidR="00E34A0A" w:rsidRPr="00E34A0A" w:rsidRDefault="00E34A0A" w:rsidP="00E34A0A">
      <w:pPr>
        <w:ind w:left="709" w:right="141"/>
        <w:jc w:val="both"/>
        <w:rPr>
          <w:rFonts w:ascii="Times New Roman" w:eastAsia="Times New Roman" w:hAnsi="Times New Roman" w:cs="Times New Roman"/>
          <w:sz w:val="20"/>
        </w:rPr>
      </w:pPr>
    </w:p>
    <w:p w14:paraId="36BC4B18" w14:textId="77777777" w:rsidR="00E34A0A" w:rsidRPr="00E34A0A" w:rsidRDefault="00E34A0A" w:rsidP="00E34A0A">
      <w:pPr>
        <w:ind w:left="1418" w:right="141" w:hanging="709"/>
        <w:jc w:val="both"/>
        <w:rPr>
          <w:rFonts w:ascii="Times New Roman" w:eastAsia="Times New Roman" w:hAnsi="Times New Roman" w:cs="Times New Roman"/>
          <w:sz w:val="20"/>
        </w:rPr>
      </w:pPr>
      <w:r w:rsidRPr="00E34A0A">
        <w:rPr>
          <w:rFonts w:ascii="Times New Roman" w:eastAsia="Times New Roman" w:hAnsi="Times New Roman" w:cs="Times New Roman"/>
          <w:sz w:val="20"/>
        </w:rPr>
        <w:t>a)</w:t>
      </w:r>
      <w:r w:rsidRPr="00E34A0A">
        <w:rPr>
          <w:rFonts w:ascii="Times New Roman" w:eastAsia="Times New Roman" w:hAnsi="Times New Roman" w:cs="Times New Roman"/>
          <w:sz w:val="20"/>
        </w:rPr>
        <w:tab/>
      </w:r>
      <w:r w:rsidRPr="00E34A0A">
        <w:rPr>
          <w:rFonts w:ascii="Times New Roman" w:eastAsia="Times New Roman" w:hAnsi="Times New Roman" w:cs="Times New Roman"/>
          <w:sz w:val="20"/>
          <w:szCs w:val="20"/>
        </w:rPr>
        <w:t>le obbligazioni assunte dalla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sono obbligazioni di mezzi e non di risultato: pertanto, attraverso le raccomandazioni personalizzate, il Cliente non avrà la certezza del buon esito dei propri investimenti</w:t>
      </w:r>
      <w:r w:rsidRPr="00E34A0A">
        <w:rPr>
          <w:rFonts w:ascii="Times New Roman" w:eastAsia="Times New Roman" w:hAnsi="Times New Roman" w:cs="Times New Roman"/>
          <w:sz w:val="20"/>
        </w:rPr>
        <w:t>;</w:t>
      </w:r>
    </w:p>
    <w:p w14:paraId="7099A1D2" w14:textId="77777777" w:rsidR="00E34A0A" w:rsidRDefault="00E34A0A" w:rsidP="00E34A0A">
      <w:pPr>
        <w:ind w:left="1418" w:right="141" w:hanging="709"/>
        <w:jc w:val="both"/>
        <w:rPr>
          <w:rFonts w:ascii="Times New Roman" w:eastAsia="Times New Roman" w:hAnsi="Times New Roman" w:cs="Times New Roman"/>
          <w:sz w:val="20"/>
        </w:rPr>
      </w:pPr>
      <w:r w:rsidRPr="00E34A0A">
        <w:rPr>
          <w:rFonts w:ascii="Times New Roman" w:eastAsia="Times New Roman" w:hAnsi="Times New Roman" w:cs="Times New Roman"/>
          <w:sz w:val="20"/>
        </w:rPr>
        <w:t>b)</w:t>
      </w:r>
      <w:r w:rsidRPr="00E34A0A">
        <w:rPr>
          <w:rFonts w:ascii="Times New Roman" w:eastAsia="Times New Roman" w:hAnsi="Times New Roman" w:cs="Times New Roman"/>
          <w:sz w:val="20"/>
        </w:rPr>
        <w:tab/>
        <w:t>con riferimento alle operazioni aventi a oggetto strumenti e prodotti finanziari non ammessi alle negoziazioni in mercati regolamentati, diversi dai titoli di Stato o garantiti dallo Stato e dalle quote di OICR, tali investimenti possono comportare il rischio di determinare per l’investitore ostacoli o limitazioni allo smobilizzo entro un lasso di tempo ragionevole, a condizioni di prezzo significative, ossia tali da riflettere, direttamente o indirettamente, una pluralità̀ di interessi in acquisto e in vendita.</w:t>
      </w:r>
    </w:p>
    <w:p w14:paraId="50E1E7C7" w14:textId="77777777" w:rsidR="00E34A0A" w:rsidRPr="00E34A0A" w:rsidRDefault="00E34A0A" w:rsidP="00E34A0A">
      <w:pPr>
        <w:ind w:left="1418" w:right="141" w:hanging="709"/>
        <w:jc w:val="both"/>
        <w:rPr>
          <w:rFonts w:ascii="Times New Roman" w:eastAsia="Times New Roman" w:hAnsi="Times New Roman" w:cs="Times New Roman"/>
          <w:sz w:val="20"/>
        </w:rPr>
      </w:pPr>
    </w:p>
    <w:p w14:paraId="0585AC1E" w14:textId="77777777" w:rsidR="00E34A0A" w:rsidRPr="00E34A0A" w:rsidRDefault="00E34A0A" w:rsidP="00E34A0A">
      <w:pPr>
        <w:ind w:right="141"/>
        <w:jc w:val="both"/>
        <w:rPr>
          <w:rFonts w:ascii="Times New Roman" w:eastAsia="Times New Roman" w:hAnsi="Times New Roman" w:cs="Times New Roman"/>
          <w:sz w:val="20"/>
          <w:szCs w:val="20"/>
        </w:rPr>
      </w:pPr>
    </w:p>
    <w:p w14:paraId="7428A0CF" w14:textId="77777777" w:rsidR="00E34A0A" w:rsidRPr="00E34A0A" w:rsidRDefault="00E34A0A" w:rsidP="00E34A0A">
      <w:pPr>
        <w:widowControl w:val="0"/>
        <w:ind w:right="142"/>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3.</w:t>
      </w:r>
      <w:r w:rsidRPr="00E34A0A">
        <w:rPr>
          <w:rFonts w:ascii="Times New Roman" w:eastAsia="Times New Roman" w:hAnsi="Times New Roman" w:cs="Times New Roman"/>
          <w:b/>
          <w:sz w:val="20"/>
          <w:szCs w:val="20"/>
        </w:rPr>
        <w:tab/>
        <w:t>Identificazione del Cliente</w:t>
      </w:r>
    </w:p>
    <w:p w14:paraId="55AE21F4" w14:textId="77777777" w:rsidR="00E34A0A" w:rsidRPr="00E34A0A" w:rsidRDefault="00E34A0A" w:rsidP="00E34A0A">
      <w:pPr>
        <w:widowControl w:val="0"/>
        <w:ind w:left="705" w:right="142"/>
        <w:jc w:val="both"/>
        <w:rPr>
          <w:rFonts w:ascii="Times New Roman" w:eastAsia="Times New Roman" w:hAnsi="Times New Roman" w:cs="Times New Roman"/>
          <w:b/>
          <w:sz w:val="20"/>
          <w:szCs w:val="20"/>
        </w:rPr>
      </w:pPr>
    </w:p>
    <w:p w14:paraId="1459781E" w14:textId="77777777" w:rsidR="00E34A0A" w:rsidRDefault="00E34A0A" w:rsidP="00E34A0A">
      <w:pPr>
        <w:ind w:left="709"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All’atto della sottoscrizione del contratto il Cliente è tenuto a fornire 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i dati identificativi propri e delle persone eventualmente autorizzate a rappresentarlo in conformità della Normativa di Riferimento e delle vigenti disposizioni di legge, previo rilascio di apposita procura speciale.</w:t>
      </w:r>
      <w:r w:rsidRPr="00E34A0A">
        <w:rPr>
          <w:rFonts w:ascii="Times New Roman" w:eastAsia="Times New Roman" w:hAnsi="Times New Roman" w:cs="Times New Roman"/>
          <w:sz w:val="18"/>
        </w:rPr>
        <w:t xml:space="preserve"> </w:t>
      </w:r>
      <w:r w:rsidRPr="00E34A0A">
        <w:rPr>
          <w:rFonts w:ascii="Times New Roman" w:eastAsia="Times New Roman" w:hAnsi="Times New Roman" w:cs="Times New Roman"/>
          <w:sz w:val="20"/>
          <w:szCs w:val="20"/>
        </w:rPr>
        <w:t>Il Cliente potrà indicare soggetti autorizzati a rappresentarlo anche nel corso del rapporto con 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in tali casi la comunicazione dei dati identificativi degli stessi 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avverrà al momento della designazione. </w:t>
      </w:r>
    </w:p>
    <w:p w14:paraId="4761CEA5" w14:textId="77777777" w:rsidR="00E34A0A" w:rsidRPr="00E34A0A" w:rsidRDefault="00E34A0A" w:rsidP="00E34A0A">
      <w:pPr>
        <w:ind w:right="141"/>
        <w:jc w:val="both"/>
        <w:rPr>
          <w:rFonts w:ascii="Times New Roman" w:eastAsia="Times New Roman" w:hAnsi="Times New Roman" w:cs="Times New Roman"/>
          <w:b/>
          <w:sz w:val="20"/>
          <w:szCs w:val="20"/>
        </w:rPr>
      </w:pPr>
    </w:p>
    <w:p w14:paraId="0E416F2E" w14:textId="77777777" w:rsidR="00E34A0A" w:rsidRPr="00E34A0A" w:rsidRDefault="00E34A0A" w:rsidP="00E34A0A">
      <w:pPr>
        <w:widowControl w:val="0"/>
        <w:ind w:right="142"/>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4.</w:t>
      </w:r>
      <w:r w:rsidRPr="00E34A0A">
        <w:rPr>
          <w:rFonts w:ascii="Times New Roman" w:eastAsia="Times New Roman" w:hAnsi="Times New Roman" w:cs="Times New Roman"/>
          <w:b/>
          <w:sz w:val="20"/>
          <w:szCs w:val="20"/>
        </w:rPr>
        <w:tab/>
        <w:t>Oggetto del contratto</w:t>
      </w:r>
    </w:p>
    <w:p w14:paraId="7F52E603" w14:textId="77777777" w:rsidR="00E34A0A" w:rsidRPr="00E34A0A" w:rsidRDefault="00E34A0A" w:rsidP="00E34A0A">
      <w:pPr>
        <w:widowControl w:val="0"/>
        <w:ind w:right="142"/>
        <w:jc w:val="both"/>
        <w:rPr>
          <w:rFonts w:ascii="Times New Roman" w:eastAsia="Times New Roman" w:hAnsi="Times New Roman" w:cs="Times New Roman"/>
          <w:b/>
          <w:sz w:val="20"/>
          <w:szCs w:val="20"/>
        </w:rPr>
      </w:pPr>
    </w:p>
    <w:p w14:paraId="2A4F0B09" w14:textId="77777777" w:rsidR="00E34A0A" w:rsidRPr="00E34A0A" w:rsidRDefault="00E34A0A" w:rsidP="00E34A0A">
      <w:pPr>
        <w:widowControl w:val="0"/>
        <w:ind w:left="705" w:hanging="705"/>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t>4.1</w:t>
      </w:r>
      <w:r w:rsidRPr="00E34A0A">
        <w:rPr>
          <w:rFonts w:ascii="Times New Roman" w:eastAsia="Times New Roman" w:hAnsi="Times New Roman" w:cs="Times New Roman"/>
          <w:bCs/>
          <w:sz w:val="20"/>
          <w:szCs w:val="20"/>
        </w:rPr>
        <w:tab/>
        <w:t>Nella prestazione del Servizio, 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 fornisce al Cliente, in via continuativa, dietro sua richiesta o di propria iniziativa, raccomandazioni personalizzate aventi a oggetto operazioni su strumenti e prodotti finanziari.</w:t>
      </w:r>
    </w:p>
    <w:p w14:paraId="35671B2E" w14:textId="77777777" w:rsidR="00E34A0A" w:rsidRPr="00E34A0A" w:rsidRDefault="00E34A0A" w:rsidP="00E34A0A">
      <w:pPr>
        <w:widowControl w:val="0"/>
        <w:ind w:left="705" w:hanging="705"/>
        <w:jc w:val="both"/>
        <w:rPr>
          <w:rFonts w:ascii="Times New Roman" w:eastAsia="Times New Roman" w:hAnsi="Times New Roman" w:cs="Times New Roman"/>
          <w:bCs/>
          <w:sz w:val="20"/>
          <w:szCs w:val="20"/>
        </w:rPr>
      </w:pPr>
    </w:p>
    <w:p w14:paraId="4F8A956B" w14:textId="77777777" w:rsidR="00E34A0A" w:rsidRPr="00E34A0A" w:rsidRDefault="00E34A0A" w:rsidP="00E34A0A">
      <w:pPr>
        <w:widowControl w:val="0"/>
        <w:ind w:left="709" w:hanging="709"/>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t>4.2</w:t>
      </w:r>
      <w:r w:rsidRPr="00E34A0A">
        <w:rPr>
          <w:rFonts w:ascii="Times New Roman" w:eastAsia="Times New Roman" w:hAnsi="Times New Roman" w:cs="Times New Roman"/>
          <w:bCs/>
          <w:sz w:val="20"/>
          <w:szCs w:val="20"/>
        </w:rPr>
        <w:tab/>
        <w:t>In particolare, il Servizio consisterà [</w:t>
      </w:r>
      <w:r w:rsidRPr="00E34A0A">
        <w:rPr>
          <w:rFonts w:ascii="Times New Roman" w:eastAsia="Times New Roman" w:hAnsi="Times New Roman" w:cs="Times New Roman"/>
          <w:bCs/>
          <w:i/>
          <w:sz w:val="20"/>
          <w:szCs w:val="20"/>
        </w:rPr>
        <w:t xml:space="preserve">scegliere opzioni in base alle specifiche caratteristiche del servizio che </w:t>
      </w:r>
      <w:r w:rsidRPr="00E34A0A">
        <w:rPr>
          <w:rFonts w:ascii="Times New Roman" w:eastAsia="Times New Roman" w:hAnsi="Times New Roman" w:cs="Times New Roman"/>
          <w:bCs/>
          <w:sz w:val="20"/>
          <w:szCs w:val="20"/>
        </w:rPr>
        <w:t>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 xml:space="preserve">] </w:t>
      </w:r>
      <w:r w:rsidRPr="00E34A0A">
        <w:rPr>
          <w:rFonts w:ascii="Times New Roman" w:eastAsia="Times New Roman" w:hAnsi="Times New Roman" w:cs="Times New Roman"/>
          <w:bCs/>
          <w:i/>
          <w:sz w:val="20"/>
          <w:szCs w:val="20"/>
        </w:rPr>
        <w:t>intende prestare</w:t>
      </w:r>
      <w:r w:rsidRPr="00E34A0A">
        <w:rPr>
          <w:rFonts w:ascii="Times New Roman" w:eastAsia="Times New Roman" w:hAnsi="Times New Roman" w:cs="Times New Roman"/>
          <w:bCs/>
          <w:sz w:val="20"/>
          <w:szCs w:val="20"/>
        </w:rPr>
        <w:t>]:</w:t>
      </w:r>
    </w:p>
    <w:p w14:paraId="1292FE52" w14:textId="77777777" w:rsidR="00E34A0A" w:rsidRPr="00E34A0A" w:rsidRDefault="00E34A0A" w:rsidP="00E34A0A">
      <w:pPr>
        <w:widowControl w:val="0"/>
        <w:jc w:val="both"/>
        <w:rPr>
          <w:rFonts w:ascii="Times New Roman" w:eastAsia="Times New Roman" w:hAnsi="Times New Roman" w:cs="Times New Roman"/>
          <w:bCs/>
          <w:sz w:val="20"/>
          <w:szCs w:val="20"/>
        </w:rPr>
      </w:pPr>
    </w:p>
    <w:p w14:paraId="2C33381A" w14:textId="77777777" w:rsidR="00E34A0A" w:rsidRPr="00E34A0A" w:rsidRDefault="00E34A0A" w:rsidP="00E34A0A">
      <w:pPr>
        <w:widowControl w:val="0"/>
        <w:numPr>
          <w:ilvl w:val="0"/>
          <w:numId w:val="24"/>
        </w:numPr>
        <w:ind w:left="1276" w:hanging="567"/>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t>nella ricostruzione e aggregazione del patrimonio del Cliente (di seguito, il “Portafoglio”), composto dagli strumenti e prodotti finanziari e dalla liquidità detenuti dal Cliente presso 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 o presso altri intermediari;</w:t>
      </w:r>
    </w:p>
    <w:p w14:paraId="43FC0CA5" w14:textId="77777777" w:rsidR="00E34A0A" w:rsidRPr="00E34A0A" w:rsidRDefault="00E34A0A" w:rsidP="00E34A0A">
      <w:pPr>
        <w:widowControl w:val="0"/>
        <w:numPr>
          <w:ilvl w:val="0"/>
          <w:numId w:val="24"/>
        </w:numPr>
        <w:ind w:left="1276" w:hanging="567"/>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t>nell’esame e nella valorizzazione delle caratteristiche del Cliente, sulla base delle informazioni fornite con la compilazione del Questionario;</w:t>
      </w:r>
    </w:p>
    <w:p w14:paraId="377DEF8E" w14:textId="77777777" w:rsidR="00E34A0A" w:rsidRPr="00E34A0A" w:rsidRDefault="00E34A0A" w:rsidP="00E34A0A">
      <w:pPr>
        <w:widowControl w:val="0"/>
        <w:numPr>
          <w:ilvl w:val="0"/>
          <w:numId w:val="24"/>
        </w:numPr>
        <w:ind w:left="1276" w:hanging="567"/>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t>nell’analisi del Portafoglio e nell’elaborazione di un portafoglio modello, adeguato al Cliente, con prestazione di raccomandazioni personalizzate mirate ad allineare il Portafoglio al portafoglio modello;</w:t>
      </w:r>
    </w:p>
    <w:p w14:paraId="755BFDB7" w14:textId="77777777" w:rsidR="00E34A0A" w:rsidRPr="00E34A0A" w:rsidRDefault="00E34A0A" w:rsidP="00E34A0A">
      <w:pPr>
        <w:widowControl w:val="0"/>
        <w:numPr>
          <w:ilvl w:val="0"/>
          <w:numId w:val="24"/>
        </w:numPr>
        <w:ind w:left="1276" w:hanging="567"/>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t xml:space="preserve">nel monitoraggio continuativo del Portafoglio, con analisi dei rendimenti dei singoli </w:t>
      </w:r>
      <w:r w:rsidRPr="00E34A0A">
        <w:rPr>
          <w:rFonts w:ascii="Times New Roman" w:eastAsia="Times New Roman" w:hAnsi="Times New Roman" w:cs="Times New Roman"/>
          <w:bCs/>
          <w:i/>
          <w:sz w:val="20"/>
          <w:szCs w:val="20"/>
        </w:rPr>
        <w:t xml:space="preserve">asset </w:t>
      </w:r>
      <w:r w:rsidRPr="00E34A0A">
        <w:rPr>
          <w:rFonts w:ascii="Times New Roman" w:eastAsia="Times New Roman" w:hAnsi="Times New Roman" w:cs="Times New Roman"/>
          <w:bCs/>
          <w:sz w:val="20"/>
          <w:szCs w:val="20"/>
        </w:rPr>
        <w:t>e suggerimento di interventi correttivi;</w:t>
      </w:r>
    </w:p>
    <w:p w14:paraId="65213B3B" w14:textId="77777777" w:rsidR="00E34A0A" w:rsidRDefault="00E34A0A" w:rsidP="00E34A0A">
      <w:pPr>
        <w:widowControl w:val="0"/>
        <w:numPr>
          <w:ilvl w:val="0"/>
          <w:numId w:val="24"/>
        </w:numPr>
        <w:ind w:left="1276" w:hanging="567"/>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t>nella valutazione periodica dell’adeguatezza, secondo le modalità di cui al successivo art. 12 del contratto.</w:t>
      </w:r>
    </w:p>
    <w:p w14:paraId="46EA3A0C" w14:textId="77777777" w:rsidR="00E34A0A" w:rsidRPr="00E34A0A" w:rsidRDefault="00E34A0A" w:rsidP="00E34A0A">
      <w:pPr>
        <w:jc w:val="both"/>
        <w:rPr>
          <w:rFonts w:ascii="Times New Roman" w:eastAsia="Times New Roman" w:hAnsi="Times New Roman" w:cs="Times New Roman"/>
          <w:sz w:val="20"/>
          <w:szCs w:val="20"/>
        </w:rPr>
      </w:pPr>
    </w:p>
    <w:p w14:paraId="22C1C29E" w14:textId="77777777" w:rsidR="00E34A0A" w:rsidRPr="00E34A0A" w:rsidRDefault="00E34A0A" w:rsidP="00E34A0A">
      <w:pPr>
        <w:widowControl w:val="0"/>
        <w:ind w:right="142"/>
        <w:jc w:val="both"/>
        <w:rPr>
          <w:rFonts w:ascii="Times New Roman" w:eastAsia="Times New Roman" w:hAnsi="Times New Roman" w:cs="Times New Roman"/>
          <w:b/>
          <w:bCs/>
          <w:sz w:val="20"/>
          <w:szCs w:val="20"/>
        </w:rPr>
      </w:pPr>
      <w:r w:rsidRPr="00E34A0A">
        <w:rPr>
          <w:rFonts w:ascii="Times New Roman" w:eastAsia="Times New Roman" w:hAnsi="Times New Roman" w:cs="Times New Roman"/>
          <w:b/>
          <w:sz w:val="20"/>
          <w:szCs w:val="20"/>
        </w:rPr>
        <w:t>5.</w:t>
      </w:r>
      <w:r w:rsidRPr="00E34A0A">
        <w:rPr>
          <w:rFonts w:ascii="Times New Roman" w:eastAsia="Times New Roman" w:hAnsi="Times New Roman" w:cs="Times New Roman"/>
          <w:b/>
          <w:sz w:val="20"/>
          <w:szCs w:val="20"/>
        </w:rPr>
        <w:tab/>
        <w:t>Modalità di svolgimento del servizio</w:t>
      </w:r>
    </w:p>
    <w:p w14:paraId="7E53DC38" w14:textId="77777777" w:rsidR="00E34A0A" w:rsidRPr="00E34A0A" w:rsidRDefault="00E34A0A" w:rsidP="00E34A0A">
      <w:pPr>
        <w:ind w:right="141"/>
        <w:jc w:val="both"/>
        <w:rPr>
          <w:rFonts w:ascii="Times New Roman" w:eastAsia="Times New Roman" w:hAnsi="Times New Roman" w:cs="Times New Roman"/>
          <w:sz w:val="20"/>
          <w:szCs w:val="20"/>
        </w:rPr>
      </w:pPr>
    </w:p>
    <w:p w14:paraId="723452B7" w14:textId="77777777" w:rsidR="00E34A0A" w:rsidRPr="00E34A0A" w:rsidRDefault="00E34A0A" w:rsidP="00E34A0A">
      <w:pPr>
        <w:widowControl w:val="0"/>
        <w:ind w:left="705"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5.1</w:t>
      </w:r>
      <w:r w:rsidRPr="00E34A0A">
        <w:rPr>
          <w:rFonts w:ascii="Times New Roman" w:eastAsia="Times New Roman" w:hAnsi="Times New Roman" w:cs="Times New Roman"/>
          <w:sz w:val="20"/>
          <w:szCs w:val="20"/>
        </w:rPr>
        <w:tab/>
        <w:t>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fornirà le raccomandazioni personalizzate con la diligenza professionale prevista dall’art. 1176, secondo comma, c.c. con trasparenza e nell’interesse del Cliente.</w:t>
      </w:r>
    </w:p>
    <w:p w14:paraId="5C5638C8" w14:textId="77777777" w:rsidR="00E34A0A" w:rsidRPr="00E34A0A" w:rsidRDefault="00E34A0A" w:rsidP="00E34A0A">
      <w:pPr>
        <w:widowControl w:val="0"/>
        <w:ind w:left="705" w:hanging="705"/>
        <w:jc w:val="both"/>
        <w:rPr>
          <w:rFonts w:ascii="Times New Roman" w:eastAsia="Times New Roman" w:hAnsi="Times New Roman" w:cs="Times New Roman"/>
          <w:sz w:val="20"/>
          <w:szCs w:val="20"/>
        </w:rPr>
      </w:pPr>
    </w:p>
    <w:p w14:paraId="72CD25B2" w14:textId="77777777" w:rsidR="00E34A0A" w:rsidRPr="00E34A0A" w:rsidRDefault="00E34A0A" w:rsidP="00E34A0A">
      <w:pPr>
        <w:widowControl w:val="0"/>
        <w:ind w:left="705" w:hanging="705"/>
        <w:jc w:val="both"/>
        <w:rPr>
          <w:rFonts w:ascii="Times New Roman" w:eastAsia="Times New Roman" w:hAnsi="Times New Roman" w:cs="Times New Roman"/>
          <w:bCs/>
          <w:sz w:val="20"/>
          <w:szCs w:val="20"/>
        </w:rPr>
      </w:pPr>
      <w:r w:rsidRPr="00E34A0A">
        <w:rPr>
          <w:rFonts w:ascii="Times New Roman" w:eastAsia="Times New Roman" w:hAnsi="Times New Roman" w:cs="Times New Roman"/>
          <w:sz w:val="20"/>
          <w:szCs w:val="20"/>
        </w:rPr>
        <w:t>5.2</w:t>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bCs/>
          <w:sz w:val="20"/>
          <w:szCs w:val="20"/>
        </w:rPr>
        <w:t>Il Servizio prestato dalla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 si configura come consulenza [</w:t>
      </w:r>
      <w:r w:rsidRPr="00E34A0A">
        <w:rPr>
          <w:rFonts w:ascii="Times New Roman" w:eastAsia="Times New Roman" w:hAnsi="Times New Roman" w:cs="Times New Roman"/>
          <w:bCs/>
          <w:i/>
          <w:sz w:val="20"/>
          <w:szCs w:val="20"/>
        </w:rPr>
        <w:t xml:space="preserve">scegliere opzioni in base alle specifiche caratteristiche del servizio che </w:t>
      </w:r>
      <w:r w:rsidRPr="00E34A0A">
        <w:rPr>
          <w:rFonts w:ascii="Times New Roman" w:eastAsia="Times New Roman" w:hAnsi="Times New Roman" w:cs="Times New Roman"/>
          <w:bCs/>
          <w:sz w:val="20"/>
          <w:szCs w:val="20"/>
        </w:rPr>
        <w:t>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 xml:space="preserve">] </w:t>
      </w:r>
      <w:r w:rsidRPr="00E34A0A">
        <w:rPr>
          <w:rFonts w:ascii="Times New Roman" w:eastAsia="Times New Roman" w:hAnsi="Times New Roman" w:cs="Times New Roman"/>
          <w:bCs/>
          <w:i/>
          <w:sz w:val="20"/>
          <w:szCs w:val="20"/>
        </w:rPr>
        <w:t>intende prestare</w:t>
      </w:r>
      <w:r w:rsidRPr="00E34A0A">
        <w:rPr>
          <w:rFonts w:ascii="Times New Roman" w:eastAsia="Times New Roman" w:hAnsi="Times New Roman" w:cs="Times New Roman"/>
          <w:bCs/>
          <w:sz w:val="20"/>
          <w:szCs w:val="20"/>
        </w:rPr>
        <w:t>] (</w:t>
      </w:r>
      <w:r w:rsidRPr="00E34A0A">
        <w:rPr>
          <w:rFonts w:ascii="Times New Roman" w:eastAsia="Times New Roman" w:hAnsi="Times New Roman" w:cs="Times New Roman"/>
          <w:bCs/>
          <w:sz w:val="20"/>
          <w:szCs w:val="20"/>
          <w:vertAlign w:val="superscript"/>
        </w:rPr>
        <w:footnoteReference w:customMarkFollows="1" w:id="3"/>
        <w:t>3</w:t>
      </w:r>
      <w:r w:rsidRPr="00E34A0A">
        <w:rPr>
          <w:rFonts w:ascii="Times New Roman" w:eastAsia="Times New Roman" w:hAnsi="Times New Roman" w:cs="Times New Roman"/>
          <w:bCs/>
          <w:sz w:val="20"/>
          <w:szCs w:val="20"/>
        </w:rPr>
        <w:t>):</w:t>
      </w:r>
    </w:p>
    <w:p w14:paraId="432C2416" w14:textId="77777777" w:rsidR="00E34A0A" w:rsidRPr="00E34A0A" w:rsidRDefault="00E34A0A" w:rsidP="00E34A0A">
      <w:pPr>
        <w:widowControl w:val="0"/>
        <w:ind w:left="705"/>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lastRenderedPageBreak/>
        <w:t>- indipendente, in quanto, nel prestare raccomandazioni personalizzate alla Clientela, 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 a) valuta una congrua gamma di strumenti finanziari disponibili sul mercato, sufficientemente diversificati in termini di tipologia ed emittenti, non limitandosi agli strumenti finanziari emessi o forniti dalla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 stessa o da altre entità che hanno con essa stretti legami o rapporti di natura legale o economica; b) non accetta né trattiene onorari, commissioni o altri benefici monetari o non monetari pagati o forniti da terzi in relazione alla prestazione del Servizio; c) comunica al Cliente i benefici non monetari di entità minima, la cui percezione è ammessa quando gli stessi possano migliorare la qualità del Servizio e, per loro natura, non siano tali da pregiudicare il rispetto da parte della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 di agire nel migliore interesse del Cliente;</w:t>
      </w:r>
    </w:p>
    <w:p w14:paraId="0F7134BD" w14:textId="77777777" w:rsidR="00E34A0A" w:rsidRPr="00E34A0A" w:rsidRDefault="00E34A0A" w:rsidP="00E34A0A">
      <w:pPr>
        <w:widowControl w:val="0"/>
        <w:ind w:left="705"/>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t>- non indipendente, in quanto, nel prestare raccomandazioni personalizzate alla Clientela, 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 a) valuta una gamma più ristretta di strumenti finanziari disponibili sul mercato, potendo anche limitarsi agli strumenti finanziari emessi o forniti dalla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 stessa o da altre entità che hanno con essa stretti legami o rapporti di natura legale o economica; b) possono accettare e trattiene onorari, commissioni o altri benefici monetari o non monetari pagati o forniti da terzi in relazione alla prestazione del Servizio.</w:t>
      </w:r>
    </w:p>
    <w:p w14:paraId="0500FAD9" w14:textId="77777777" w:rsidR="00E34A0A" w:rsidRPr="00E34A0A" w:rsidRDefault="00E34A0A" w:rsidP="00E34A0A">
      <w:pPr>
        <w:widowControl w:val="0"/>
        <w:ind w:left="705" w:hanging="705"/>
        <w:jc w:val="both"/>
        <w:rPr>
          <w:rFonts w:ascii="Times New Roman" w:eastAsia="Times New Roman" w:hAnsi="Times New Roman" w:cs="Times New Roman"/>
          <w:bCs/>
          <w:sz w:val="20"/>
          <w:szCs w:val="20"/>
        </w:rPr>
      </w:pPr>
    </w:p>
    <w:p w14:paraId="11A4158D"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5.3</w:t>
      </w:r>
      <w:r w:rsidRPr="00E34A0A">
        <w:rPr>
          <w:rFonts w:ascii="Times New Roman" w:eastAsia="Times New Roman" w:hAnsi="Times New Roman" w:cs="Times New Roman"/>
          <w:sz w:val="20"/>
          <w:szCs w:val="20"/>
        </w:rPr>
        <w:tab/>
        <w:t>Al fine di consentire 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la corretta prestazione del Servizio, come descritto all’art. 4, e, in particolare, di procedere a una corretta ricostruzione del Portafoglio e al monitoraggio nel tempo della sua evoluzione, il Cliente si impegna a fornire 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informazioni aggiornate e dettagliate circa la composizione del Portafoglio, che includano anche i dettagli delle operazioni concluse. Le informazioni dovranno essere inviate:</w:t>
      </w:r>
    </w:p>
    <w:p w14:paraId="5EDB76F8" w14:textId="77777777" w:rsidR="00E34A0A" w:rsidRPr="00E34A0A" w:rsidRDefault="00E34A0A" w:rsidP="00E34A0A">
      <w:pPr>
        <w:numPr>
          <w:ilvl w:val="0"/>
          <w:numId w:val="25"/>
        </w:numPr>
        <w:tabs>
          <w:tab w:val="left" w:pos="1276"/>
        </w:tabs>
        <w:ind w:right="141" w:hanging="1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al momento della conclusione del contratto;</w:t>
      </w:r>
    </w:p>
    <w:p w14:paraId="24700381" w14:textId="77777777" w:rsidR="00E34A0A" w:rsidRPr="00E34A0A" w:rsidRDefault="00E34A0A" w:rsidP="00E34A0A">
      <w:pPr>
        <w:numPr>
          <w:ilvl w:val="0"/>
          <w:numId w:val="25"/>
        </w:numPr>
        <w:tabs>
          <w:tab w:val="left" w:pos="1276"/>
        </w:tabs>
        <w:ind w:left="1276" w:right="141" w:hanging="567"/>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entro sette giorni dall’esecuzione di un’operazione di investimento o disinvestimento a valere sul Portafoglio;</w:t>
      </w:r>
    </w:p>
    <w:p w14:paraId="7843258E" w14:textId="77777777" w:rsidR="00E34A0A" w:rsidRPr="00E34A0A" w:rsidRDefault="00E34A0A" w:rsidP="00E34A0A">
      <w:pPr>
        <w:numPr>
          <w:ilvl w:val="0"/>
          <w:numId w:val="25"/>
        </w:numPr>
        <w:tabs>
          <w:tab w:val="left" w:pos="1276"/>
        </w:tabs>
        <w:ind w:left="1276" w:right="141" w:hanging="567"/>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in occasione della revisione periodica del Portafoglio di cui all’art. 5.4 e di ogni incontro con 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w:t>
      </w:r>
    </w:p>
    <w:p w14:paraId="4304B38B" w14:textId="77777777" w:rsidR="00E34A0A" w:rsidRPr="00E34A0A" w:rsidRDefault="00E34A0A" w:rsidP="00E34A0A">
      <w:pPr>
        <w:numPr>
          <w:ilvl w:val="0"/>
          <w:numId w:val="25"/>
        </w:numPr>
        <w:tabs>
          <w:tab w:val="left" w:pos="1276"/>
        </w:tabs>
        <w:ind w:right="141" w:hanging="1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su richiesta della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w:t>
      </w:r>
    </w:p>
    <w:p w14:paraId="2668B82F" w14:textId="77777777" w:rsidR="00E34A0A" w:rsidRPr="00E34A0A" w:rsidRDefault="00E34A0A" w:rsidP="00E34A0A">
      <w:pPr>
        <w:ind w:right="141"/>
        <w:jc w:val="both"/>
        <w:rPr>
          <w:rFonts w:ascii="Times New Roman" w:eastAsia="Times New Roman" w:hAnsi="Times New Roman" w:cs="Times New Roman"/>
          <w:sz w:val="20"/>
          <w:szCs w:val="20"/>
        </w:rPr>
      </w:pPr>
    </w:p>
    <w:p w14:paraId="1A6EB101"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5.4</w:t>
      </w:r>
      <w:r w:rsidRPr="00E34A0A">
        <w:rPr>
          <w:rFonts w:ascii="Times New Roman" w:eastAsia="Times New Roman" w:hAnsi="Times New Roman" w:cs="Times New Roman"/>
          <w:sz w:val="20"/>
          <w:szCs w:val="20"/>
        </w:rPr>
        <w:tab/>
        <w:t>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potrà fornire raccomandazioni personalizzate al Cliente anche di propria iniziativa, ogni qualvolta lo ritenga opportuno, o su richiesta del Cliente stesso, qualora questi senta l’esigenza di ricevere un consiglio di investimento, mantenimento o disinvestimento relativo al Portafoglio.</w:t>
      </w:r>
    </w:p>
    <w:p w14:paraId="2389233F" w14:textId="77777777" w:rsidR="00E34A0A" w:rsidRPr="00E34A0A" w:rsidRDefault="00E34A0A" w:rsidP="00E34A0A">
      <w:pPr>
        <w:ind w:right="141"/>
        <w:jc w:val="both"/>
        <w:rPr>
          <w:rFonts w:ascii="Times New Roman" w:eastAsia="Times New Roman" w:hAnsi="Times New Roman" w:cs="Times New Roman"/>
          <w:sz w:val="20"/>
          <w:szCs w:val="20"/>
        </w:rPr>
      </w:pPr>
    </w:p>
    <w:p w14:paraId="5F19DDFC"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5.5</w:t>
      </w:r>
      <w:r w:rsidRPr="00E34A0A">
        <w:rPr>
          <w:rFonts w:ascii="Times New Roman" w:eastAsia="Times New Roman" w:hAnsi="Times New Roman" w:cs="Times New Roman"/>
          <w:sz w:val="20"/>
          <w:szCs w:val="20"/>
        </w:rPr>
        <w:tab/>
        <w:t>Il Cliente sarà libero di non avvalersi della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al fine di dare corso alle operazioni di investimento/disinvestimento consigliate in esecuzione del presente contratto.   </w:t>
      </w:r>
    </w:p>
    <w:p w14:paraId="7E65EBED" w14:textId="77777777" w:rsidR="00E34A0A" w:rsidRPr="00E34A0A" w:rsidRDefault="00E34A0A" w:rsidP="00E34A0A">
      <w:pPr>
        <w:tabs>
          <w:tab w:val="left" w:pos="1134"/>
        </w:tabs>
        <w:jc w:val="both"/>
        <w:rPr>
          <w:rFonts w:ascii="Times New Roman" w:eastAsia="Times New Roman" w:hAnsi="Times New Roman" w:cs="Times New Roman"/>
          <w:sz w:val="20"/>
          <w:szCs w:val="20"/>
        </w:rPr>
      </w:pPr>
    </w:p>
    <w:p w14:paraId="2718EC12"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5.6</w:t>
      </w:r>
      <w:r w:rsidRPr="00E34A0A">
        <w:rPr>
          <w:rFonts w:ascii="Times New Roman" w:eastAsia="Times New Roman" w:hAnsi="Times New Roman" w:cs="Times New Roman"/>
          <w:sz w:val="20"/>
          <w:szCs w:val="20"/>
        </w:rPr>
        <w:tab/>
        <w:t>Resta inteso che le raccomandazioni personalizzate possono perdere repentinamente la propria validità dal punto di vista della loro convenienza e della loro adeguatezza per il Cliente a seguito di avvenimenti congiunturali e di mercato (</w:t>
      </w:r>
      <w:r w:rsidRPr="00E34A0A">
        <w:rPr>
          <w:rFonts w:ascii="Times New Roman" w:eastAsia="Times New Roman" w:hAnsi="Times New Roman" w:cs="Times New Roman"/>
          <w:sz w:val="20"/>
          <w:szCs w:val="20"/>
          <w:vertAlign w:val="superscript"/>
        </w:rPr>
        <w:footnoteReference w:customMarkFollows="1" w:id="4"/>
        <w:t>4</w:t>
      </w:r>
      <w:r w:rsidRPr="00E34A0A">
        <w:rPr>
          <w:rFonts w:ascii="Times New Roman" w:eastAsia="Times New Roman" w:hAnsi="Times New Roman" w:cs="Times New Roman"/>
          <w:sz w:val="20"/>
          <w:szCs w:val="20"/>
        </w:rPr>
        <w:t>). Pertanto, l’intempestiva esecuzione da parte del Cliente degli ordini relativi o della esecuzione degli investimenti non potrà in alcun modo essere imputata 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w:t>
      </w:r>
    </w:p>
    <w:p w14:paraId="02252384" w14:textId="77777777" w:rsidR="00E34A0A" w:rsidRPr="00E34A0A" w:rsidRDefault="00E34A0A" w:rsidP="00E34A0A">
      <w:pPr>
        <w:ind w:right="141"/>
        <w:jc w:val="both"/>
        <w:rPr>
          <w:rFonts w:ascii="Times New Roman" w:eastAsia="Times New Roman" w:hAnsi="Times New Roman" w:cs="Times New Roman"/>
          <w:sz w:val="20"/>
          <w:szCs w:val="20"/>
        </w:rPr>
      </w:pPr>
    </w:p>
    <w:p w14:paraId="65D04289" w14:textId="77777777" w:rsid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5.7</w:t>
      </w:r>
      <w:r w:rsidRPr="00E34A0A">
        <w:rPr>
          <w:rFonts w:ascii="Times New Roman" w:eastAsia="Times New Roman" w:hAnsi="Times New Roman" w:cs="Times New Roman"/>
          <w:sz w:val="20"/>
          <w:szCs w:val="20"/>
        </w:rPr>
        <w:tab/>
        <w:t>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non avrà l’obbligo di verificare se, per effetto dell’esecuzione delle raccomandazioni personalizzate fornite ai sensi del presente contratto, siano acquisite dal Cliente (o raggiunte in seguito) partecipazioni societarie in relazione alle quali vi siano obblighi di comunicazione a organi di vigilanza di qualsiasi natura, né ove gli obblighi di comunicazione per il Cliente sorgano per effetto di successiva variazione in aumento o in diminuzione delle partecipazioni per le quali sia stata effettuata la comunicazione di cui sopra.</w:t>
      </w:r>
    </w:p>
    <w:p w14:paraId="01957BD6" w14:textId="77777777" w:rsidR="00E34A0A" w:rsidRDefault="00E34A0A" w:rsidP="00E34A0A">
      <w:pPr>
        <w:ind w:left="705" w:right="141" w:hanging="705"/>
        <w:jc w:val="both"/>
        <w:rPr>
          <w:rFonts w:ascii="Times New Roman" w:eastAsia="Times New Roman" w:hAnsi="Times New Roman" w:cs="Times New Roman"/>
          <w:sz w:val="20"/>
          <w:szCs w:val="20"/>
        </w:rPr>
      </w:pPr>
    </w:p>
    <w:p w14:paraId="7D059856" w14:textId="77777777" w:rsidR="00E34A0A" w:rsidRPr="00E34A0A" w:rsidRDefault="00E34A0A" w:rsidP="00E34A0A">
      <w:pPr>
        <w:ind w:left="705" w:right="141" w:hanging="705"/>
        <w:jc w:val="both"/>
        <w:rPr>
          <w:rFonts w:ascii="Times New Roman" w:eastAsia="Times New Roman" w:hAnsi="Times New Roman" w:cs="Times New Roman"/>
          <w:sz w:val="20"/>
          <w:szCs w:val="20"/>
        </w:rPr>
      </w:pPr>
    </w:p>
    <w:p w14:paraId="5AB2057D" w14:textId="77777777" w:rsidR="00E34A0A" w:rsidRPr="00E34A0A" w:rsidRDefault="00E34A0A" w:rsidP="00E34A0A">
      <w:pPr>
        <w:widowControl w:val="0"/>
        <w:ind w:right="142"/>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6.</w:t>
      </w:r>
      <w:r w:rsidRPr="00E34A0A">
        <w:rPr>
          <w:rFonts w:ascii="Times New Roman" w:eastAsia="Times New Roman" w:hAnsi="Times New Roman" w:cs="Times New Roman"/>
          <w:b/>
          <w:sz w:val="20"/>
          <w:szCs w:val="20"/>
        </w:rPr>
        <w:tab/>
        <w:t>Perimetro delle raccomandazioni personalizzate</w:t>
      </w:r>
    </w:p>
    <w:p w14:paraId="7A897C20" w14:textId="77777777" w:rsidR="00E34A0A" w:rsidRPr="00E34A0A" w:rsidRDefault="00E34A0A" w:rsidP="00E34A0A">
      <w:pPr>
        <w:widowControl w:val="0"/>
        <w:ind w:right="142"/>
        <w:jc w:val="both"/>
        <w:rPr>
          <w:rFonts w:ascii="Times New Roman" w:eastAsia="Times New Roman" w:hAnsi="Times New Roman" w:cs="Times New Roman"/>
          <w:b/>
          <w:sz w:val="20"/>
          <w:szCs w:val="20"/>
        </w:rPr>
      </w:pPr>
    </w:p>
    <w:p w14:paraId="076BD12A" w14:textId="77777777" w:rsidR="00E34A0A" w:rsidRPr="00E34A0A" w:rsidRDefault="00E34A0A" w:rsidP="00E34A0A">
      <w:pPr>
        <w:ind w:left="705" w:right="141" w:hanging="705"/>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lastRenderedPageBreak/>
        <w:t>6.1</w:t>
      </w:r>
      <w:r w:rsidRPr="00E34A0A">
        <w:rPr>
          <w:rFonts w:ascii="Times New Roman" w:eastAsia="Times New Roman" w:hAnsi="Times New Roman" w:cs="Times New Roman"/>
          <w:bCs/>
          <w:sz w:val="20"/>
          <w:szCs w:val="20"/>
        </w:rPr>
        <w:tab/>
        <w:t>Le raccomandazioni personalizzate di investimento fornite dalla Banca al Cliente in esecuzione del Servizio possono avere ad oggetto i seguenti prodotti finanziari: [</w:t>
      </w:r>
      <w:r w:rsidRPr="00E34A0A">
        <w:rPr>
          <w:rFonts w:ascii="Times New Roman" w:eastAsia="Times New Roman" w:hAnsi="Times New Roman" w:cs="Times New Roman"/>
          <w:bCs/>
          <w:i/>
          <w:sz w:val="20"/>
          <w:szCs w:val="20"/>
        </w:rPr>
        <w:t>fornire alla Clientela indicazione della gamma di prodotti finanziari che potrebbero essere raccomandati e indicare l’eventuale rapporto della Banca / SIM con gli emittenti o fornitori dei prodotti stessi</w:t>
      </w:r>
      <w:r w:rsidRPr="00E34A0A">
        <w:rPr>
          <w:rFonts w:ascii="Times New Roman" w:eastAsia="Times New Roman" w:hAnsi="Times New Roman" w:cs="Times New Roman"/>
          <w:bCs/>
          <w:sz w:val="20"/>
          <w:szCs w:val="20"/>
        </w:rPr>
        <w:t>].</w:t>
      </w:r>
    </w:p>
    <w:p w14:paraId="4E43DD59" w14:textId="77777777" w:rsidR="00E34A0A" w:rsidRPr="00E34A0A" w:rsidRDefault="00E34A0A" w:rsidP="00E34A0A">
      <w:pPr>
        <w:ind w:left="705" w:right="141" w:hanging="705"/>
        <w:jc w:val="both"/>
        <w:rPr>
          <w:rFonts w:ascii="Times New Roman" w:eastAsia="Times New Roman" w:hAnsi="Times New Roman" w:cs="Times New Roman"/>
          <w:bCs/>
          <w:sz w:val="20"/>
          <w:szCs w:val="20"/>
        </w:rPr>
      </w:pPr>
    </w:p>
    <w:p w14:paraId="1C8F75CD" w14:textId="77777777" w:rsidR="00E34A0A" w:rsidRPr="00E34A0A" w:rsidRDefault="00E34A0A" w:rsidP="00E34A0A">
      <w:pPr>
        <w:ind w:left="705" w:right="141" w:hanging="705"/>
        <w:jc w:val="both"/>
        <w:rPr>
          <w:rFonts w:ascii="Times New Roman" w:eastAsia="Times New Roman" w:hAnsi="Times New Roman" w:cs="Times New Roman"/>
          <w:bCs/>
          <w:sz w:val="20"/>
          <w:szCs w:val="20"/>
        </w:rPr>
      </w:pPr>
      <w:r w:rsidRPr="00E34A0A">
        <w:rPr>
          <w:rFonts w:ascii="Times New Roman" w:eastAsia="Times New Roman" w:hAnsi="Times New Roman" w:cs="Times New Roman"/>
          <w:bCs/>
          <w:sz w:val="20"/>
          <w:szCs w:val="20"/>
        </w:rPr>
        <w:t>6.2</w:t>
      </w:r>
      <w:r w:rsidRPr="00E34A0A">
        <w:rPr>
          <w:rFonts w:ascii="Times New Roman" w:eastAsia="Times New Roman" w:hAnsi="Times New Roman" w:cs="Times New Roman"/>
          <w:bCs/>
          <w:sz w:val="20"/>
          <w:szCs w:val="20"/>
        </w:rPr>
        <w:tab/>
        <w:t>La puntuale descrizione dei tipi di prodotti finanziari considerati e dei fornitori analizzati per ciascun tipo di prodotto nell’ambito del Servizio [</w:t>
      </w:r>
      <w:r w:rsidRPr="00E34A0A">
        <w:rPr>
          <w:rFonts w:ascii="Times New Roman" w:eastAsia="Times New Roman" w:hAnsi="Times New Roman" w:cs="Times New Roman"/>
          <w:bCs/>
          <w:i/>
          <w:sz w:val="20"/>
          <w:szCs w:val="20"/>
        </w:rPr>
        <w:t>nonché le ragioni per cui il Servizio soddisfa le condizioni applicabili alla fornitura di consulenza su base indipendente  e i fattori presi in considerazione nella selezione dei prodotti finanziari rientranti nel perimetro delle raccomandazioni personalizzate (quali i rischi, i costi e la complessità dei prodotti)</w:t>
      </w:r>
      <w:r w:rsidRPr="00E34A0A">
        <w:rPr>
          <w:rFonts w:ascii="Times New Roman" w:eastAsia="Times New Roman" w:hAnsi="Times New Roman" w:cs="Times New Roman"/>
          <w:bCs/>
          <w:sz w:val="20"/>
          <w:szCs w:val="20"/>
        </w:rPr>
        <w:t>](</w:t>
      </w:r>
      <w:r w:rsidRPr="00E34A0A">
        <w:rPr>
          <w:rFonts w:ascii="Times New Roman" w:eastAsia="Times New Roman" w:hAnsi="Times New Roman" w:cs="Times New Roman"/>
          <w:bCs/>
          <w:sz w:val="20"/>
          <w:szCs w:val="20"/>
          <w:vertAlign w:val="superscript"/>
        </w:rPr>
        <w:footnoteReference w:customMarkFollows="1" w:id="5"/>
        <w:t>5</w:t>
      </w:r>
      <w:r w:rsidRPr="00E34A0A">
        <w:rPr>
          <w:rFonts w:ascii="Times New Roman" w:eastAsia="Times New Roman" w:hAnsi="Times New Roman" w:cs="Times New Roman"/>
          <w:bCs/>
          <w:sz w:val="20"/>
          <w:szCs w:val="20"/>
        </w:rPr>
        <w:t>) è disponibile sul sito internet della  [</w:t>
      </w:r>
      <w:r w:rsidRPr="00E34A0A">
        <w:rPr>
          <w:rFonts w:ascii="Times New Roman" w:eastAsia="Times New Roman" w:hAnsi="Times New Roman" w:cs="Times New Roman"/>
          <w:bCs/>
          <w:i/>
          <w:sz w:val="20"/>
          <w:szCs w:val="20"/>
        </w:rPr>
        <w:t>Banca / SIM</w:t>
      </w:r>
      <w:r w:rsidRPr="00E34A0A">
        <w:rPr>
          <w:rFonts w:ascii="Times New Roman" w:eastAsia="Times New Roman" w:hAnsi="Times New Roman" w:cs="Times New Roman"/>
          <w:bCs/>
          <w:sz w:val="20"/>
          <w:szCs w:val="20"/>
        </w:rPr>
        <w:t>].</w:t>
      </w:r>
    </w:p>
    <w:p w14:paraId="46A7047A" w14:textId="77777777" w:rsidR="00E34A0A" w:rsidRPr="00E34A0A" w:rsidRDefault="00E34A0A" w:rsidP="00E34A0A">
      <w:pPr>
        <w:ind w:left="705" w:right="141" w:hanging="705"/>
        <w:jc w:val="both"/>
        <w:rPr>
          <w:rFonts w:ascii="Times New Roman" w:eastAsia="Times New Roman" w:hAnsi="Times New Roman" w:cs="Times New Roman"/>
          <w:sz w:val="20"/>
          <w:szCs w:val="20"/>
        </w:rPr>
      </w:pPr>
    </w:p>
    <w:p w14:paraId="10638F58" w14:textId="77777777" w:rsidR="00E34A0A" w:rsidRPr="00E34A0A" w:rsidRDefault="00E34A0A" w:rsidP="00E34A0A">
      <w:pPr>
        <w:keepNext/>
        <w:ind w:right="144"/>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7.</w:t>
      </w:r>
      <w:r w:rsidRPr="00E34A0A">
        <w:rPr>
          <w:rFonts w:ascii="Times New Roman" w:eastAsia="Times New Roman" w:hAnsi="Times New Roman" w:cs="Times New Roman"/>
          <w:b/>
          <w:sz w:val="20"/>
          <w:szCs w:val="20"/>
        </w:rPr>
        <w:tab/>
        <w:t>Conflitti di interesse</w:t>
      </w:r>
    </w:p>
    <w:p w14:paraId="567EE055" w14:textId="77777777" w:rsidR="00E34A0A" w:rsidRPr="00E34A0A" w:rsidRDefault="00E34A0A" w:rsidP="00E34A0A">
      <w:pPr>
        <w:keepNext/>
        <w:ind w:right="144"/>
        <w:jc w:val="both"/>
        <w:rPr>
          <w:rFonts w:ascii="Times New Roman" w:eastAsia="Times New Roman" w:hAnsi="Times New Roman" w:cs="Times New Roman"/>
          <w:sz w:val="20"/>
          <w:szCs w:val="20"/>
        </w:rPr>
      </w:pPr>
    </w:p>
    <w:p w14:paraId="5C711403"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7.1</w:t>
      </w:r>
      <w:r w:rsidRPr="00E34A0A">
        <w:rPr>
          <w:rFonts w:ascii="Times New Roman" w:eastAsia="Times New Roman" w:hAnsi="Times New Roman" w:cs="Times New Roman"/>
          <w:sz w:val="20"/>
          <w:szCs w:val="20"/>
        </w:rPr>
        <w:tab/>
        <w:t>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adotta, conformemente a quanto previsto dalla politica di gestione dei conflitti di interesse (la cui sintesi è stata illustrata e consegnata al Cliente prima della conclusione del contratto), ogni misura idonea a identificare e prevenire i conflitti di interesse che potrebbero insorgere tra la [Banca / SIM], inclusi i dirigenti, i dipendenti e gli agenti collegati o le persone direttamente o indirettamente connesse e il Cliente o tra il Cliente e altri clienti della [Banca / SIM] al momento della prestazione del Servizio oggetto del presente Contratto, al fine di evitare che tali conflitti di interesse incidano negativamente sul Cliente.  </w:t>
      </w:r>
    </w:p>
    <w:p w14:paraId="7919AFF2" w14:textId="77777777" w:rsidR="00E34A0A" w:rsidRPr="00E34A0A" w:rsidRDefault="00E34A0A" w:rsidP="00E34A0A">
      <w:pPr>
        <w:ind w:left="705"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Qualora il Cliente ne faccia richiesta, la [Banca / SIM] fornisce maggiori dettagli circa la politica seguita.</w:t>
      </w:r>
    </w:p>
    <w:p w14:paraId="697FD697" w14:textId="77777777" w:rsidR="00E34A0A" w:rsidRPr="00E34A0A" w:rsidRDefault="00E34A0A" w:rsidP="00E34A0A">
      <w:pPr>
        <w:ind w:right="141"/>
        <w:jc w:val="both"/>
        <w:rPr>
          <w:rFonts w:ascii="Times New Roman" w:eastAsia="Times New Roman" w:hAnsi="Times New Roman" w:cs="Times New Roman"/>
          <w:sz w:val="20"/>
          <w:szCs w:val="20"/>
        </w:rPr>
      </w:pPr>
    </w:p>
    <w:p w14:paraId="68584C79" w14:textId="30C339F1"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7.2</w:t>
      </w:r>
      <w:r w:rsidRPr="00E34A0A">
        <w:rPr>
          <w:rFonts w:ascii="Times New Roman" w:eastAsia="Times New Roman" w:hAnsi="Times New Roman" w:cs="Times New Roman"/>
          <w:sz w:val="20"/>
          <w:szCs w:val="20"/>
        </w:rPr>
        <w:tab/>
        <w:t>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ove le misure adottate ai sensi del precedente art. 6.1 non siano sufficienti a evitare, con ragionevole certezza, il rischio di danneggiare gli interessi del Cliente, informerà </w:t>
      </w:r>
      <w:r w:rsidRPr="00E34A0A">
        <w:rPr>
          <w:rFonts w:ascii="Times New Roman" w:eastAsia="Times New Roman" w:hAnsi="Times New Roman" w:cs="Times New Roman"/>
          <w:sz w:val="20"/>
        </w:rPr>
        <w:t>chiaramente su supporto durevole</w:t>
      </w:r>
      <w:r w:rsidRPr="00E34A0A">
        <w:rPr>
          <w:rFonts w:ascii="Times New Roman" w:eastAsia="Times New Roman" w:hAnsi="Times New Roman" w:cs="Times New Roman"/>
          <w:sz w:val="20"/>
          <w:szCs w:val="20"/>
        </w:rPr>
        <w:t xml:space="preserve"> il Cliente della natura generale e/o delle fonti dei potenziali conflitti di interesse</w:t>
      </w:r>
      <w:r w:rsidRPr="00E34A0A">
        <w:rPr>
          <w:rFonts w:ascii="Times New Roman" w:eastAsia="Times New Roman" w:hAnsi="Times New Roman" w:cs="Times New Roman"/>
          <w:sz w:val="20"/>
        </w:rPr>
        <w:t xml:space="preserve"> </w:t>
      </w:r>
      <w:r w:rsidRPr="00E34A0A">
        <w:rPr>
          <w:rFonts w:ascii="Times New Roman" w:eastAsia="Times New Roman" w:hAnsi="Times New Roman" w:cs="Times New Roman"/>
          <w:sz w:val="20"/>
          <w:szCs w:val="20"/>
        </w:rPr>
        <w:t>derivanti dalle raccomandazioni fornite,</w:t>
      </w:r>
      <w:r w:rsidRPr="00E34A0A">
        <w:rPr>
          <w:rFonts w:ascii="Times New Roman" w:eastAsia="Times New Roman" w:hAnsi="Times New Roman" w:cs="Times New Roman"/>
          <w:sz w:val="20"/>
        </w:rPr>
        <w:t xml:space="preserve"> nonché delle misure adottate per mitigare i rischi connessi</w:t>
      </w:r>
      <w:r w:rsidRPr="00E34A0A">
        <w:rPr>
          <w:rFonts w:ascii="Times New Roman" w:eastAsia="Times New Roman" w:hAnsi="Times New Roman" w:cs="Times New Roman"/>
          <w:sz w:val="20"/>
          <w:szCs w:val="20"/>
        </w:rPr>
        <w:t>, affinché il Cliente possa assumere una decisione di investimento informata.</w:t>
      </w:r>
    </w:p>
    <w:p w14:paraId="1E7AB432" w14:textId="77777777" w:rsidR="00E34A0A" w:rsidRPr="00E34A0A" w:rsidRDefault="00E34A0A" w:rsidP="00E34A0A">
      <w:pPr>
        <w:ind w:right="141"/>
        <w:jc w:val="both"/>
        <w:rPr>
          <w:rFonts w:ascii="Times New Roman" w:eastAsia="Times New Roman" w:hAnsi="Times New Roman" w:cs="Times New Roman"/>
          <w:sz w:val="20"/>
          <w:szCs w:val="20"/>
        </w:rPr>
      </w:pPr>
    </w:p>
    <w:p w14:paraId="645FADC4"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7.3</w:t>
      </w:r>
      <w:r w:rsidRPr="00E34A0A">
        <w:rPr>
          <w:rFonts w:ascii="Times New Roman" w:eastAsia="Times New Roman" w:hAnsi="Times New Roman" w:cs="Times New Roman"/>
          <w:sz w:val="20"/>
          <w:szCs w:val="20"/>
        </w:rPr>
        <w:tab/>
        <w:t>Ove il Cliente intenda ricevere le raccomandazioni personalizzate telefonicamente, 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fornirà al Cliente l’informativa sul conflitto di interessi telefonicamente. Tale informativa dovrà risultare da registrazione su nastro magnetico o su altro supporto durevole.</w:t>
      </w:r>
    </w:p>
    <w:p w14:paraId="459A1C9B" w14:textId="77777777" w:rsidR="00E34A0A" w:rsidRPr="00E34A0A" w:rsidRDefault="00E34A0A" w:rsidP="00E34A0A">
      <w:pPr>
        <w:ind w:right="141"/>
        <w:jc w:val="both"/>
        <w:rPr>
          <w:rFonts w:ascii="Times New Roman" w:eastAsia="Times New Roman" w:hAnsi="Times New Roman" w:cs="Times New Roman"/>
          <w:sz w:val="20"/>
          <w:szCs w:val="20"/>
        </w:rPr>
      </w:pPr>
    </w:p>
    <w:p w14:paraId="44484F6F" w14:textId="77777777" w:rsidR="00E34A0A" w:rsidRPr="00E34A0A" w:rsidRDefault="00E34A0A" w:rsidP="00E34A0A">
      <w:pPr>
        <w:widowControl w:val="0"/>
        <w:ind w:left="709" w:right="144" w:hanging="709"/>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8.</w:t>
      </w:r>
      <w:r w:rsidRPr="00E34A0A">
        <w:rPr>
          <w:rFonts w:ascii="Times New Roman" w:eastAsia="Times New Roman" w:hAnsi="Times New Roman" w:cs="Times New Roman"/>
          <w:b/>
          <w:sz w:val="20"/>
          <w:szCs w:val="20"/>
        </w:rPr>
        <w:tab/>
        <w:t>Compensi, spese e incentivi</w:t>
      </w:r>
    </w:p>
    <w:p w14:paraId="251C2919" w14:textId="77777777" w:rsidR="00E34A0A" w:rsidRPr="00E34A0A" w:rsidRDefault="00E34A0A" w:rsidP="00E34A0A">
      <w:pPr>
        <w:widowControl w:val="0"/>
        <w:ind w:right="144"/>
        <w:jc w:val="both"/>
        <w:rPr>
          <w:rFonts w:ascii="Times New Roman" w:eastAsia="Times New Roman" w:hAnsi="Times New Roman" w:cs="Times New Roman"/>
          <w:sz w:val="20"/>
          <w:szCs w:val="20"/>
        </w:rPr>
      </w:pPr>
    </w:p>
    <w:p w14:paraId="44615A68" w14:textId="77777777" w:rsidR="00E34A0A" w:rsidRPr="00E34A0A" w:rsidRDefault="00E34A0A" w:rsidP="00E34A0A">
      <w:pPr>
        <w:widowControl w:val="0"/>
        <w:ind w:left="705" w:right="144"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8.1</w:t>
      </w:r>
      <w:r w:rsidRPr="00E34A0A">
        <w:rPr>
          <w:rFonts w:ascii="Times New Roman" w:eastAsia="Times New Roman" w:hAnsi="Times New Roman" w:cs="Times New Roman"/>
          <w:sz w:val="20"/>
          <w:szCs w:val="20"/>
        </w:rPr>
        <w:tab/>
        <w:t>Il compenso per la prestazione del Servizio che il Cliente sarà tenuto a corrispondere 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è dettagliatamente specificato nell’Allegato 1. In tale Allegato 1 </w:t>
      </w:r>
      <w:r w:rsidRPr="00E34A0A">
        <w:rPr>
          <w:rFonts w:ascii="Times New Roman" w:eastAsia="Times New Roman" w:hAnsi="Times New Roman" w:cs="Times New Roman"/>
          <w:sz w:val="20"/>
        </w:rPr>
        <w:t xml:space="preserve">sono contenute le informazioni, espresse in forma aggregata, previste dalla Normativa di Riferimento, in materia di costi e oneri nonché quelle </w:t>
      </w:r>
      <w:r w:rsidRPr="00E34A0A">
        <w:rPr>
          <w:rFonts w:ascii="Times New Roman" w:eastAsia="Times New Roman" w:hAnsi="Times New Roman" w:cs="Times New Roman"/>
          <w:sz w:val="20"/>
          <w:szCs w:val="20"/>
        </w:rPr>
        <w:t>riguardanti l’esistenza, la natura, l’importo o il metodo di calcolo [</w:t>
      </w:r>
      <w:r w:rsidRPr="00E34A0A">
        <w:rPr>
          <w:rFonts w:ascii="Times New Roman" w:eastAsia="Times New Roman" w:hAnsi="Times New Roman" w:cs="Times New Roman"/>
          <w:i/>
          <w:sz w:val="20"/>
          <w:szCs w:val="20"/>
        </w:rPr>
        <w:t>completare la frase a seconda della natura indipendente o non indipendente della consulenza prestata</w:t>
      </w:r>
      <w:r w:rsidRPr="00E34A0A">
        <w:rPr>
          <w:rFonts w:ascii="Times New Roman" w:eastAsia="Times New Roman" w:hAnsi="Times New Roman" w:cs="Times New Roman"/>
          <w:sz w:val="20"/>
          <w:szCs w:val="20"/>
        </w:rPr>
        <w:t>]:</w:t>
      </w:r>
    </w:p>
    <w:p w14:paraId="65D615B4" w14:textId="77777777" w:rsidR="00E34A0A" w:rsidRPr="00E34A0A" w:rsidRDefault="00E34A0A" w:rsidP="00E34A0A">
      <w:pPr>
        <w:widowControl w:val="0"/>
        <w:ind w:left="705" w:right="144"/>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 [</w:t>
      </w:r>
      <w:r w:rsidRPr="00E34A0A">
        <w:rPr>
          <w:rFonts w:ascii="Times New Roman" w:eastAsia="Times New Roman" w:hAnsi="Times New Roman" w:cs="Times New Roman"/>
          <w:i/>
          <w:sz w:val="20"/>
          <w:szCs w:val="20"/>
        </w:rPr>
        <w:t>in caso di consulenza indipendente</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sz w:val="20"/>
        </w:rPr>
        <w:t xml:space="preserve"> degli eventuali benefici non monetari di minore entità accettabili ai sensi della Normativa di Riferimento e l’effetto dei costi sulla redditività dei Prodotti Finanziari</w:t>
      </w:r>
      <w:r w:rsidRPr="00E34A0A">
        <w:rPr>
          <w:rFonts w:ascii="Times New Roman" w:eastAsia="Times New Roman" w:hAnsi="Times New Roman" w:cs="Times New Roman"/>
          <w:sz w:val="20"/>
          <w:szCs w:val="20"/>
        </w:rPr>
        <w:t>. È facoltà del Cliente chiedere ulteriori dettagli.</w:t>
      </w:r>
    </w:p>
    <w:p w14:paraId="610B96FF" w14:textId="77777777" w:rsidR="00E34A0A" w:rsidRPr="00E34A0A" w:rsidRDefault="00E34A0A" w:rsidP="00E34A0A">
      <w:pPr>
        <w:widowControl w:val="0"/>
        <w:ind w:left="705" w:right="144"/>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 [</w:t>
      </w:r>
      <w:r w:rsidRPr="00E34A0A">
        <w:rPr>
          <w:rFonts w:ascii="Times New Roman" w:eastAsia="Times New Roman" w:hAnsi="Times New Roman" w:cs="Times New Roman"/>
          <w:i/>
          <w:sz w:val="20"/>
          <w:szCs w:val="20"/>
        </w:rPr>
        <w:t>in caso di consulenza non indipendente</w:t>
      </w:r>
      <w:r w:rsidRPr="00E34A0A">
        <w:rPr>
          <w:rFonts w:ascii="Times New Roman" w:eastAsia="Times New Roman" w:hAnsi="Times New Roman" w:cs="Times New Roman"/>
          <w:sz w:val="20"/>
          <w:szCs w:val="20"/>
        </w:rPr>
        <w:t>] degli eventuali incentivi di natura monetaria e non monetaria pagati o forniti da parte del Cliente o da parte di terzi secondo quanto previsto dalla Normativa di Riferimento</w:t>
      </w:r>
      <w:r w:rsidRPr="00E34A0A">
        <w:rPr>
          <w:rFonts w:ascii="Times New Roman" w:eastAsia="Times New Roman" w:hAnsi="Times New Roman" w:cs="Times New Roman"/>
          <w:sz w:val="20"/>
        </w:rPr>
        <w:t xml:space="preserve"> e l’effetto dei costi sulla redditività dei Prodotti Finanziari</w:t>
      </w:r>
      <w:r w:rsidRPr="00E34A0A">
        <w:rPr>
          <w:rFonts w:ascii="Times New Roman" w:eastAsia="Times New Roman" w:hAnsi="Times New Roman" w:cs="Times New Roman"/>
          <w:sz w:val="20"/>
          <w:szCs w:val="20"/>
        </w:rPr>
        <w:t>. È facoltà del Cliente chiedere ulteriori dettagli.</w:t>
      </w:r>
    </w:p>
    <w:p w14:paraId="14AC911A" w14:textId="77777777" w:rsidR="00E34A0A" w:rsidRPr="00E34A0A" w:rsidRDefault="00E34A0A" w:rsidP="00E34A0A">
      <w:pPr>
        <w:widowControl w:val="0"/>
        <w:ind w:left="705" w:right="144"/>
        <w:jc w:val="both"/>
        <w:rPr>
          <w:rFonts w:ascii="Times New Roman" w:eastAsia="Times New Roman" w:hAnsi="Times New Roman" w:cs="Times New Roman"/>
          <w:sz w:val="20"/>
          <w:szCs w:val="20"/>
        </w:rPr>
      </w:pPr>
    </w:p>
    <w:p w14:paraId="3B474B77" w14:textId="77777777" w:rsidR="00E34A0A" w:rsidRPr="00E34A0A" w:rsidRDefault="00E34A0A" w:rsidP="00E34A0A">
      <w:pPr>
        <w:widowControl w:val="0"/>
        <w:ind w:left="705" w:right="144"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8.2</w:t>
      </w:r>
      <w:r w:rsidRPr="00E34A0A">
        <w:rPr>
          <w:rFonts w:ascii="Times New Roman" w:eastAsia="Times New Roman" w:hAnsi="Times New Roman" w:cs="Times New Roman"/>
          <w:sz w:val="20"/>
        </w:rPr>
        <w:t xml:space="preserve"> </w:t>
      </w:r>
      <w:r w:rsidRPr="00E34A0A">
        <w:rPr>
          <w:rFonts w:ascii="Times New Roman" w:eastAsia="Times New Roman" w:hAnsi="Times New Roman" w:cs="Times New Roman"/>
          <w:sz w:val="20"/>
        </w:rPr>
        <w:tab/>
        <w:t>[</w:t>
      </w:r>
      <w:r w:rsidRPr="00E34A0A">
        <w:rPr>
          <w:rFonts w:ascii="Times New Roman" w:eastAsia="Times New Roman" w:hAnsi="Times New Roman" w:cs="Times New Roman"/>
          <w:i/>
          <w:sz w:val="20"/>
        </w:rPr>
        <w:t xml:space="preserve">Nella prestazione del Servizio, la </w:t>
      </w:r>
      <w:r w:rsidRPr="00E34A0A">
        <w:rPr>
          <w:rFonts w:ascii="Times New Roman" w:eastAsia="Times New Roman" w:hAnsi="Times New Roman" w:cs="Times New Roman"/>
          <w:i/>
          <w:sz w:val="20"/>
          <w:szCs w:val="20"/>
        </w:rPr>
        <w:t xml:space="preserve">[Banca / SIM] </w:t>
      </w:r>
      <w:r w:rsidRPr="00E34A0A">
        <w:rPr>
          <w:rFonts w:ascii="Times New Roman" w:eastAsia="Times New Roman" w:hAnsi="Times New Roman" w:cs="Times New Roman"/>
          <w:i/>
          <w:sz w:val="20"/>
        </w:rPr>
        <w:t>non accetta né trattiene onorari, commissioni o altri benefici monetari o non monetari pagati o forniti da terzi o da una persona che agisce per conto di terzi. Nel rendiconto di cui al successivo comma 6 del presente articolo, la Banca specificherà gli eventuali incentivi ricevuti e immediatamente retrocessi al Cliente e gli eventuali benefici non monetari di entità minima legittimamente ricevuti ai sensi della Normativa di Riferimento</w:t>
      </w:r>
      <w:r w:rsidRPr="00E34A0A">
        <w:rPr>
          <w:rFonts w:ascii="Times New Roman" w:eastAsia="Times New Roman" w:hAnsi="Times New Roman" w:cs="Times New Roman"/>
          <w:sz w:val="20"/>
        </w:rPr>
        <w:t>] (</w:t>
      </w:r>
      <w:r w:rsidRPr="00E34A0A">
        <w:rPr>
          <w:rFonts w:ascii="Times New Roman" w:eastAsia="Times New Roman" w:hAnsi="Times New Roman" w:cs="Times New Roman"/>
          <w:sz w:val="20"/>
          <w:vertAlign w:val="superscript"/>
        </w:rPr>
        <w:footnoteReference w:customMarkFollows="1" w:id="6"/>
        <w:t>7</w:t>
      </w:r>
      <w:r w:rsidRPr="00E34A0A">
        <w:rPr>
          <w:rFonts w:ascii="Times New Roman" w:eastAsia="Times New Roman" w:hAnsi="Times New Roman" w:cs="Times New Roman"/>
          <w:sz w:val="20"/>
        </w:rPr>
        <w:t>).</w:t>
      </w:r>
      <w:r w:rsidRPr="00E34A0A" w:rsidDel="00B7529F">
        <w:rPr>
          <w:rFonts w:ascii="Times New Roman" w:eastAsia="Times New Roman" w:hAnsi="Times New Roman" w:cs="Times New Roman"/>
          <w:sz w:val="20"/>
          <w:szCs w:val="20"/>
        </w:rPr>
        <w:t xml:space="preserve"> </w:t>
      </w:r>
    </w:p>
    <w:p w14:paraId="3926F6D6" w14:textId="77777777" w:rsidR="00E34A0A" w:rsidRPr="00E34A0A" w:rsidRDefault="00E34A0A" w:rsidP="00E34A0A">
      <w:pPr>
        <w:widowControl w:val="0"/>
        <w:ind w:left="705" w:right="144" w:hanging="705"/>
        <w:jc w:val="both"/>
        <w:rPr>
          <w:rFonts w:ascii="Times New Roman" w:eastAsia="Times New Roman" w:hAnsi="Times New Roman" w:cs="Times New Roman"/>
          <w:sz w:val="20"/>
          <w:szCs w:val="20"/>
        </w:rPr>
      </w:pPr>
    </w:p>
    <w:p w14:paraId="26D84B15" w14:textId="77777777" w:rsidR="00E34A0A" w:rsidRPr="00E34A0A" w:rsidRDefault="00E34A0A" w:rsidP="00E34A0A">
      <w:pPr>
        <w:widowControl w:val="0"/>
        <w:ind w:left="705" w:right="144"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8.3</w:t>
      </w:r>
      <w:r w:rsidRPr="00E34A0A">
        <w:rPr>
          <w:rFonts w:ascii="Times New Roman" w:eastAsia="Times New Roman" w:hAnsi="Times New Roman" w:cs="Times New Roman"/>
          <w:sz w:val="20"/>
          <w:szCs w:val="20"/>
        </w:rPr>
        <w:tab/>
        <w:t>[</w:t>
      </w:r>
      <w:r w:rsidRPr="00E34A0A">
        <w:rPr>
          <w:rFonts w:ascii="Times New Roman" w:eastAsia="Times New Roman" w:hAnsi="Times New Roman" w:cs="Times New Roman"/>
          <w:i/>
          <w:sz w:val="20"/>
          <w:szCs w:val="20"/>
        </w:rPr>
        <w:t>Nella prestazione del Servizio, la [Banca / SIM]</w:t>
      </w:r>
      <w:r w:rsidRPr="00E34A0A">
        <w:rPr>
          <w:rFonts w:ascii="Times New Roman" w:eastAsia="Times New Roman" w:hAnsi="Times New Roman" w:cs="Times New Roman"/>
          <w:sz w:val="20"/>
          <w:szCs w:val="20"/>
        </w:rPr>
        <w:t xml:space="preserve"> </w:t>
      </w:r>
      <w:r w:rsidRPr="00E34A0A">
        <w:rPr>
          <w:rFonts w:ascii="Times New Roman" w:eastAsia="Times New Roman" w:hAnsi="Times New Roman" w:cs="Times New Roman"/>
          <w:i/>
          <w:sz w:val="20"/>
          <w:szCs w:val="20"/>
        </w:rPr>
        <w:t xml:space="preserve">può percepire o versare compensi e/o commissioni ovvero fornire o ricevere benefici non monetari con l’adozione di soluzioni idonee a i) garantire che tali compensi, commissioni e/o benefici abbiano lo scopo di accrescere la qualità del Servizio e ii) evitare che tali compensi, commissioni e/o benefici pregiudichino il dovere dell’impresa di investimento di agire in modo onesto, equo e professionale, nel migliore interesse del Cliente. </w:t>
      </w:r>
      <w:r w:rsidRPr="00E34A0A">
        <w:rPr>
          <w:rFonts w:ascii="Times New Roman" w:eastAsia="Times New Roman" w:hAnsi="Times New Roman" w:cs="Times New Roman"/>
          <w:i/>
          <w:sz w:val="20"/>
        </w:rPr>
        <w:t>Nel rendiconto di cui al successivo comma 6 del presente articolo, la Banca specificherà gli eventuali incentivi ricevuti</w:t>
      </w:r>
      <w:r w:rsidRPr="00E34A0A">
        <w:rPr>
          <w:rFonts w:ascii="Times New Roman" w:eastAsia="Times New Roman" w:hAnsi="Times New Roman" w:cs="Times New Roman"/>
          <w:sz w:val="20"/>
          <w:szCs w:val="20"/>
        </w:rPr>
        <w:t>] (</w:t>
      </w:r>
      <w:r w:rsidRPr="00E34A0A">
        <w:rPr>
          <w:rFonts w:ascii="Times New Roman" w:eastAsia="Times New Roman" w:hAnsi="Times New Roman" w:cs="Times New Roman"/>
          <w:sz w:val="20"/>
          <w:szCs w:val="20"/>
          <w:vertAlign w:val="superscript"/>
        </w:rPr>
        <w:footnoteReference w:customMarkFollows="1" w:id="7"/>
        <w:t>8</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i/>
          <w:sz w:val="20"/>
          <w:szCs w:val="20"/>
        </w:rPr>
        <w:t xml:space="preserve">.   </w:t>
      </w:r>
    </w:p>
    <w:p w14:paraId="52C52837" w14:textId="77777777" w:rsidR="00E34A0A" w:rsidRPr="00E34A0A" w:rsidRDefault="00E34A0A" w:rsidP="00E34A0A">
      <w:pPr>
        <w:ind w:right="141"/>
        <w:jc w:val="both"/>
        <w:rPr>
          <w:rFonts w:ascii="Times New Roman" w:eastAsia="Times New Roman" w:hAnsi="Times New Roman" w:cs="Times New Roman"/>
          <w:sz w:val="20"/>
          <w:szCs w:val="20"/>
        </w:rPr>
      </w:pPr>
    </w:p>
    <w:p w14:paraId="70A499AC"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8.4</w:t>
      </w:r>
      <w:r w:rsidRPr="00E34A0A">
        <w:rPr>
          <w:rFonts w:ascii="Times New Roman" w:eastAsia="Times New Roman" w:hAnsi="Times New Roman" w:cs="Times New Roman"/>
          <w:sz w:val="20"/>
          <w:szCs w:val="20"/>
        </w:rPr>
        <w:tab/>
        <w:t>Il Cliente sarà tenuto a corrispondere anche le spese documentate. Il Cliente sarà altresì tenuto al pagamento o rimborso 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di ogni imposta, tassa o spesa derivante dallo svolgimento del Servizio.</w:t>
      </w:r>
    </w:p>
    <w:p w14:paraId="75A85790" w14:textId="77777777" w:rsidR="00E34A0A" w:rsidRPr="00E34A0A" w:rsidRDefault="00E34A0A" w:rsidP="00E34A0A">
      <w:pPr>
        <w:ind w:left="705" w:right="141" w:hanging="705"/>
        <w:jc w:val="both"/>
        <w:rPr>
          <w:rFonts w:ascii="Times New Roman" w:eastAsia="Times New Roman" w:hAnsi="Times New Roman" w:cs="Times New Roman"/>
          <w:sz w:val="20"/>
          <w:szCs w:val="20"/>
        </w:rPr>
      </w:pPr>
    </w:p>
    <w:p w14:paraId="563427B9" w14:textId="77777777" w:rsidR="00E34A0A" w:rsidRPr="00E34A0A" w:rsidRDefault="00E34A0A" w:rsidP="00E34A0A">
      <w:pPr>
        <w:ind w:left="705" w:right="141" w:hanging="705"/>
        <w:jc w:val="both"/>
        <w:rPr>
          <w:rFonts w:ascii="Times New Roman" w:eastAsia="Times New Roman" w:hAnsi="Times New Roman" w:cs="Times New Roman"/>
          <w:sz w:val="20"/>
        </w:rPr>
      </w:pPr>
      <w:r w:rsidRPr="00E34A0A">
        <w:rPr>
          <w:rFonts w:ascii="Times New Roman" w:eastAsia="Times New Roman" w:hAnsi="Times New Roman" w:cs="Times New Roman"/>
          <w:sz w:val="20"/>
          <w:szCs w:val="20"/>
        </w:rPr>
        <w:t>8.5</w:t>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rPr>
        <w:t xml:space="preserve">È fatto divieto al Cliente di consegnare ai Consulenti Finanziari, di cui la </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sz w:val="20"/>
        </w:rPr>
        <w:t xml:space="preserve"> o altro intermediario eventualmente si avvalgano, denaro contante o mezzi di pagamento che non siano intestati o girati alla [</w:t>
      </w:r>
      <w:r w:rsidRPr="00E34A0A">
        <w:rPr>
          <w:rFonts w:ascii="Times New Roman" w:eastAsia="Times New Roman" w:hAnsi="Times New Roman" w:cs="Times New Roman"/>
          <w:i/>
          <w:sz w:val="20"/>
        </w:rPr>
        <w:t>Banca / SIM</w:t>
      </w:r>
      <w:r w:rsidRPr="00E34A0A">
        <w:rPr>
          <w:rFonts w:ascii="Times New Roman" w:eastAsia="Times New Roman" w:hAnsi="Times New Roman" w:cs="Times New Roman"/>
          <w:sz w:val="20"/>
        </w:rPr>
        <w:t>], muniti della clausola di non trasferibilità. In caso di violazione della presente disposizione, il Cliente si assume ogni responsabilità conseguente.</w:t>
      </w:r>
    </w:p>
    <w:p w14:paraId="29E4BA27" w14:textId="77777777" w:rsidR="00E34A0A" w:rsidRPr="00E34A0A" w:rsidRDefault="00E34A0A" w:rsidP="00E34A0A">
      <w:pPr>
        <w:ind w:left="705" w:right="141" w:hanging="705"/>
        <w:jc w:val="both"/>
        <w:rPr>
          <w:rFonts w:ascii="Times New Roman" w:eastAsia="Times New Roman" w:hAnsi="Times New Roman" w:cs="Times New Roman"/>
          <w:sz w:val="20"/>
        </w:rPr>
      </w:pPr>
    </w:p>
    <w:p w14:paraId="46C62AC2" w14:textId="77777777" w:rsidR="00E34A0A" w:rsidRPr="00E34A0A" w:rsidRDefault="00E34A0A" w:rsidP="00E34A0A">
      <w:pPr>
        <w:ind w:left="705" w:right="141" w:hanging="705"/>
        <w:jc w:val="both"/>
        <w:rPr>
          <w:rFonts w:ascii="Times New Roman" w:eastAsia="Times New Roman" w:hAnsi="Times New Roman" w:cs="Times New Roman"/>
          <w:sz w:val="20"/>
        </w:rPr>
      </w:pPr>
      <w:r w:rsidRPr="00E34A0A">
        <w:rPr>
          <w:rFonts w:ascii="Times New Roman" w:eastAsia="Times New Roman" w:hAnsi="Times New Roman" w:cs="Times New Roman"/>
          <w:sz w:val="20"/>
        </w:rPr>
        <w:t>8.6</w:t>
      </w:r>
      <w:r w:rsidRPr="00E34A0A">
        <w:rPr>
          <w:rFonts w:ascii="Times New Roman" w:eastAsia="Times New Roman" w:hAnsi="Times New Roman" w:cs="Times New Roman"/>
          <w:sz w:val="20"/>
        </w:rPr>
        <w:tab/>
        <w:t>Al termine di ciascuna anno solare, la [</w:t>
      </w:r>
      <w:r w:rsidRPr="00E34A0A">
        <w:rPr>
          <w:rFonts w:ascii="Times New Roman" w:eastAsia="Times New Roman" w:hAnsi="Times New Roman" w:cs="Times New Roman"/>
          <w:i/>
          <w:sz w:val="20"/>
        </w:rPr>
        <w:t>Banca / SIM</w:t>
      </w:r>
      <w:r w:rsidRPr="00E34A0A">
        <w:rPr>
          <w:rFonts w:ascii="Times New Roman" w:eastAsia="Times New Roman" w:hAnsi="Times New Roman" w:cs="Times New Roman"/>
          <w:sz w:val="20"/>
        </w:rPr>
        <w:t xml:space="preserve">] invierà al Cliente su supporto durevole le informazioni, espresse in forma aggregata, previste dalla Normativa di Riferimento, in merito ai costi e agli oneri del Servizio prestato e dei Prodotti Finanziari oggetto di raccomandazione, ivi inclusi gli eventuali incentivi, nonché agli effetti dei costi sulla redditività dei Prodotti Finanziari. Il Cliente può chiedere ulteriori dettagli. </w:t>
      </w:r>
    </w:p>
    <w:p w14:paraId="3B631DFB" w14:textId="77777777" w:rsidR="00E34A0A" w:rsidRPr="00E34A0A" w:rsidRDefault="00E34A0A" w:rsidP="00E34A0A">
      <w:pPr>
        <w:ind w:left="705" w:right="141" w:hanging="705"/>
        <w:jc w:val="both"/>
        <w:rPr>
          <w:rFonts w:ascii="Times New Roman" w:eastAsia="Times New Roman" w:hAnsi="Times New Roman" w:cs="Times New Roman"/>
          <w:sz w:val="20"/>
          <w:szCs w:val="20"/>
          <w:highlight w:val="yellow"/>
        </w:rPr>
      </w:pPr>
    </w:p>
    <w:p w14:paraId="6482074A" w14:textId="77777777" w:rsidR="00E34A0A" w:rsidRPr="00E34A0A" w:rsidRDefault="00E34A0A" w:rsidP="00E34A0A">
      <w:pPr>
        <w:ind w:right="141"/>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9.</w:t>
      </w:r>
      <w:r w:rsidRPr="00E34A0A">
        <w:rPr>
          <w:rFonts w:ascii="Times New Roman" w:eastAsia="Times New Roman" w:hAnsi="Times New Roman" w:cs="Times New Roman"/>
          <w:b/>
          <w:sz w:val="20"/>
          <w:szCs w:val="20"/>
        </w:rPr>
        <w:tab/>
      </w:r>
      <w:proofErr w:type="spellStart"/>
      <w:r w:rsidRPr="00E34A0A">
        <w:rPr>
          <w:rFonts w:ascii="Times New Roman" w:eastAsia="Times New Roman" w:hAnsi="Times New Roman" w:cs="Times New Roman"/>
          <w:b/>
          <w:sz w:val="20"/>
          <w:szCs w:val="20"/>
        </w:rPr>
        <w:t>Cointestazione</w:t>
      </w:r>
      <w:proofErr w:type="spellEnd"/>
    </w:p>
    <w:p w14:paraId="6B5E8B4E" w14:textId="77777777" w:rsidR="00E34A0A" w:rsidRPr="00E34A0A" w:rsidRDefault="00E34A0A" w:rsidP="00E34A0A">
      <w:pPr>
        <w:ind w:right="141"/>
        <w:jc w:val="both"/>
        <w:rPr>
          <w:rFonts w:ascii="Times New Roman" w:eastAsia="Times New Roman" w:hAnsi="Times New Roman" w:cs="Times New Roman"/>
          <w:b/>
          <w:sz w:val="20"/>
          <w:szCs w:val="20"/>
        </w:rPr>
      </w:pPr>
    </w:p>
    <w:p w14:paraId="25131EFB"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9.1</w:t>
      </w:r>
      <w:r w:rsidRPr="00E34A0A">
        <w:rPr>
          <w:rFonts w:ascii="Times New Roman" w:eastAsia="Times New Roman" w:hAnsi="Times New Roman" w:cs="Times New Roman"/>
          <w:sz w:val="20"/>
          <w:szCs w:val="20"/>
        </w:rPr>
        <w:tab/>
        <w:t>Quando il rapporto è intestato a più persone, tutte le comunicazioni potranno essere fatte dalla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a uno solo dei cointestatari, con pieno effetto anche nei confronti degli altri. </w:t>
      </w:r>
    </w:p>
    <w:p w14:paraId="69984F89" w14:textId="77777777" w:rsidR="00E34A0A" w:rsidRPr="00E34A0A" w:rsidRDefault="00E34A0A" w:rsidP="00E34A0A">
      <w:pPr>
        <w:ind w:right="141"/>
        <w:jc w:val="both"/>
        <w:rPr>
          <w:rFonts w:ascii="Times New Roman" w:eastAsia="Times New Roman" w:hAnsi="Times New Roman" w:cs="Times New Roman"/>
          <w:sz w:val="20"/>
          <w:szCs w:val="20"/>
        </w:rPr>
      </w:pPr>
    </w:p>
    <w:p w14:paraId="13301822"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9.2</w:t>
      </w:r>
      <w:r w:rsidRPr="00E34A0A">
        <w:rPr>
          <w:rFonts w:ascii="Times New Roman" w:eastAsia="Times New Roman" w:hAnsi="Times New Roman" w:cs="Times New Roman"/>
          <w:sz w:val="20"/>
          <w:szCs w:val="20"/>
        </w:rPr>
        <w:tab/>
        <w:t>Gli obblighi dei cointestatari sono assunti in via solidale e indivisibile, anche se riferiti a istruzioni impartite soltanto da uno di essi.</w:t>
      </w:r>
    </w:p>
    <w:p w14:paraId="371A9044" w14:textId="77777777" w:rsidR="00E34A0A" w:rsidRPr="00E34A0A" w:rsidRDefault="00E34A0A" w:rsidP="00E34A0A">
      <w:pPr>
        <w:ind w:right="141"/>
        <w:jc w:val="both"/>
        <w:rPr>
          <w:rFonts w:ascii="Times New Roman" w:eastAsia="Times New Roman" w:hAnsi="Times New Roman" w:cs="Times New Roman"/>
          <w:sz w:val="20"/>
          <w:szCs w:val="20"/>
        </w:rPr>
      </w:pPr>
    </w:p>
    <w:p w14:paraId="111D5839"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9.3</w:t>
      </w:r>
      <w:r w:rsidRPr="00E34A0A">
        <w:rPr>
          <w:rFonts w:ascii="Times New Roman" w:eastAsia="Times New Roman" w:hAnsi="Times New Roman" w:cs="Times New Roman"/>
          <w:sz w:val="20"/>
          <w:szCs w:val="20"/>
        </w:rPr>
        <w:tab/>
        <w:t>Se non è pattuito diversamente, si presume che il rapporto sia a firma disgiunta. In tal caso, ciascuno dei cointestatari singolarmente può ricevere o richiedere la prestazione del Servizio con piena liberazione della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anche nei confronti degli altri cointestatari. L’estinzione del rapporto può invece essere effettuata su richiesta anche di uno solo di essi, che dovrà avvertirne tempestivamente gli altri. </w:t>
      </w:r>
    </w:p>
    <w:p w14:paraId="2DCE3C2E" w14:textId="77777777" w:rsidR="00E34A0A" w:rsidRPr="00E34A0A" w:rsidRDefault="00E34A0A" w:rsidP="00E34A0A">
      <w:pPr>
        <w:ind w:right="141"/>
        <w:jc w:val="both"/>
        <w:rPr>
          <w:rFonts w:ascii="Times New Roman" w:eastAsia="Times New Roman" w:hAnsi="Times New Roman" w:cs="Times New Roman"/>
          <w:sz w:val="20"/>
          <w:szCs w:val="20"/>
        </w:rPr>
      </w:pPr>
    </w:p>
    <w:p w14:paraId="5BE77066"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9.4</w:t>
      </w:r>
      <w:r w:rsidRPr="00E34A0A">
        <w:rPr>
          <w:rFonts w:ascii="Times New Roman" w:eastAsia="Times New Roman" w:hAnsi="Times New Roman" w:cs="Times New Roman"/>
          <w:sz w:val="20"/>
          <w:szCs w:val="20"/>
        </w:rPr>
        <w:tab/>
        <w:t>Il contratto è concluso con più persone in via congiunta solo se espressamente richiesto dai clienti. Quando il contratto è intestato congiuntamente a più persone, esse potranno ricevere e richiedere la prestazione del Servizio solo congiuntamente.</w:t>
      </w:r>
    </w:p>
    <w:p w14:paraId="58CFE207" w14:textId="77777777" w:rsidR="00E34A0A" w:rsidRPr="00E34A0A" w:rsidRDefault="00E34A0A" w:rsidP="00E34A0A">
      <w:pPr>
        <w:ind w:left="705" w:right="141" w:hanging="705"/>
        <w:jc w:val="both"/>
        <w:rPr>
          <w:rFonts w:ascii="Times New Roman" w:eastAsia="Times New Roman" w:hAnsi="Times New Roman" w:cs="Times New Roman"/>
          <w:sz w:val="20"/>
          <w:szCs w:val="20"/>
        </w:rPr>
      </w:pPr>
    </w:p>
    <w:p w14:paraId="3A1F12BD"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9.5</w:t>
      </w:r>
      <w:r w:rsidRPr="00E34A0A">
        <w:rPr>
          <w:rFonts w:ascii="Times New Roman" w:eastAsia="Times New Roman" w:hAnsi="Times New Roman" w:cs="Times New Roman"/>
          <w:sz w:val="20"/>
          <w:szCs w:val="20"/>
        </w:rPr>
        <w:tab/>
        <w:t xml:space="preserve">Nel caso di morte o di sopravvenuta incapacità di agire di uno dei cointestatari, ciascuno degli altri conserva il diritto di disporre separatamente del rapporto. Analogamente lo conserva il </w:t>
      </w:r>
      <w:r w:rsidRPr="00E34A0A">
        <w:rPr>
          <w:rFonts w:ascii="Times New Roman" w:eastAsia="Times New Roman" w:hAnsi="Times New Roman" w:cs="Times New Roman"/>
          <w:sz w:val="20"/>
          <w:szCs w:val="20"/>
        </w:rPr>
        <w:lastRenderedPageBreak/>
        <w:t>legale rappresentante dell’interdetto o inabilitato e gli eredi del cointestatario, che sono però tenuti a esercitarlo tutti insieme, fino a che perduri la comunione ereditaria.</w:t>
      </w:r>
    </w:p>
    <w:p w14:paraId="551EC196" w14:textId="77777777" w:rsidR="00E34A0A" w:rsidRPr="00E34A0A" w:rsidRDefault="00E34A0A" w:rsidP="00E34A0A">
      <w:pPr>
        <w:ind w:left="705" w:right="141" w:hanging="705"/>
        <w:jc w:val="both"/>
        <w:rPr>
          <w:rFonts w:ascii="Times New Roman" w:eastAsia="Times New Roman" w:hAnsi="Times New Roman" w:cs="Times New Roman"/>
          <w:sz w:val="20"/>
          <w:szCs w:val="20"/>
        </w:rPr>
      </w:pPr>
    </w:p>
    <w:p w14:paraId="17F58B09"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9.6</w:t>
      </w:r>
      <w:r w:rsidRPr="00E34A0A">
        <w:rPr>
          <w:rFonts w:ascii="Times New Roman" w:eastAsia="Times New Roman" w:hAnsi="Times New Roman" w:cs="Times New Roman"/>
          <w:sz w:val="20"/>
          <w:szCs w:val="20"/>
        </w:rPr>
        <w:tab/>
        <w:t>Nei casi di cui al precedente comma, 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deve pretendere il concorso di tutti i cointestatari e degli eventuali eredi e del legale rappresentante dell'incapace, quando da uno di essi le sia stata comunicata opposizione anche solo con lettera raccomandata A/R.</w:t>
      </w:r>
    </w:p>
    <w:p w14:paraId="41E38F31" w14:textId="77777777" w:rsidR="00E34A0A" w:rsidRPr="00E34A0A" w:rsidRDefault="00E34A0A" w:rsidP="00E34A0A">
      <w:pPr>
        <w:ind w:left="705" w:right="141" w:hanging="705"/>
        <w:jc w:val="both"/>
        <w:rPr>
          <w:rFonts w:ascii="Times New Roman" w:eastAsia="Times New Roman" w:hAnsi="Times New Roman" w:cs="Times New Roman"/>
          <w:sz w:val="20"/>
          <w:szCs w:val="20"/>
        </w:rPr>
      </w:pPr>
    </w:p>
    <w:p w14:paraId="51F92A1C"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9.7</w:t>
      </w:r>
      <w:r w:rsidRPr="00E34A0A">
        <w:rPr>
          <w:rFonts w:ascii="Times New Roman" w:eastAsia="Times New Roman" w:hAnsi="Times New Roman" w:cs="Times New Roman"/>
          <w:sz w:val="20"/>
          <w:szCs w:val="20"/>
        </w:rPr>
        <w:tab/>
        <w:t>In caso di morte del Cliente, ovvero di morte o sopravvenuta incapacità di uno dei cointestatari del rapporto di cui al presente contratto, le opposizioni di cui sopra, così come gli eventuali atti di disposizione compiuti dopo il verificarsi degli eventi medesimi, non saranno opponibili 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finché a questa non sia stata comunicata, a mezzo lettera raccomandata A/R, notizia legalmente certa della morte o della sopravvenuta incapacità di agire degli intestatari.</w:t>
      </w:r>
    </w:p>
    <w:p w14:paraId="5ED14FCF" w14:textId="77777777" w:rsidR="00E34A0A" w:rsidRPr="00E34A0A" w:rsidRDefault="00E34A0A" w:rsidP="00E34A0A">
      <w:pPr>
        <w:ind w:left="705" w:right="141" w:hanging="705"/>
        <w:jc w:val="both"/>
        <w:rPr>
          <w:rFonts w:ascii="Times New Roman" w:eastAsia="Times New Roman" w:hAnsi="Times New Roman" w:cs="Times New Roman"/>
          <w:sz w:val="20"/>
          <w:szCs w:val="20"/>
        </w:rPr>
      </w:pPr>
    </w:p>
    <w:p w14:paraId="1EEF97A9" w14:textId="77777777" w:rsidR="00E34A0A" w:rsidRPr="00E34A0A" w:rsidRDefault="00E34A0A" w:rsidP="00E34A0A">
      <w:pPr>
        <w:ind w:right="141"/>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10.</w:t>
      </w:r>
      <w:r w:rsidRPr="00E34A0A">
        <w:rPr>
          <w:rFonts w:ascii="Times New Roman" w:eastAsia="Times New Roman" w:hAnsi="Times New Roman" w:cs="Times New Roman"/>
          <w:b/>
          <w:sz w:val="20"/>
          <w:szCs w:val="20"/>
        </w:rPr>
        <w:tab/>
        <w:t>Adeguatezza</w:t>
      </w:r>
    </w:p>
    <w:p w14:paraId="6899F19A" w14:textId="77777777" w:rsidR="00E34A0A" w:rsidRPr="00E34A0A" w:rsidRDefault="00E34A0A" w:rsidP="00E34A0A">
      <w:pPr>
        <w:ind w:right="141"/>
        <w:jc w:val="both"/>
        <w:rPr>
          <w:rFonts w:ascii="Times New Roman" w:eastAsia="Times New Roman" w:hAnsi="Times New Roman" w:cs="Times New Roman"/>
          <w:b/>
          <w:sz w:val="20"/>
          <w:szCs w:val="20"/>
        </w:rPr>
      </w:pPr>
    </w:p>
    <w:p w14:paraId="74D69E86" w14:textId="68F6C421"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10.1</w:t>
      </w:r>
      <w:r w:rsidRPr="00E34A0A">
        <w:rPr>
          <w:rFonts w:ascii="Times New Roman" w:eastAsia="Times New Roman" w:hAnsi="Times New Roman" w:cs="Times New Roman"/>
          <w:sz w:val="20"/>
          <w:szCs w:val="20"/>
        </w:rPr>
        <w:tab/>
        <w:t>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fornisce raccomandazioni in relazione a operazioni di investimento o disinvestimento che, se eseguite, consentono l’adeguatezza del Portafoglio rispetto al profilo del Cliente, come ricostruito sulla base delle sue risposte al Questionario</w:t>
      </w:r>
      <w:r w:rsidR="00BA3008" w:rsidRPr="00BA3008">
        <w:rPr>
          <w:rFonts w:ascii="Times New Roman" w:eastAsia="Times New Roman" w:hAnsi="Times New Roman" w:cs="Times New Roman"/>
          <w:sz w:val="20"/>
          <w:szCs w:val="20"/>
        </w:rPr>
        <w:t xml:space="preserve"> </w:t>
      </w:r>
      <w:r w:rsidR="00BA3008" w:rsidRPr="0009326E">
        <w:rPr>
          <w:rFonts w:ascii="Times New Roman" w:eastAsia="Times New Roman" w:hAnsi="Times New Roman" w:cs="Times New Roman"/>
          <w:sz w:val="20"/>
          <w:szCs w:val="20"/>
        </w:rPr>
        <w:t>sulla conoscenza ed esperienza in materia di investimenti, nonché sulla sua situazione finanziaria e sugli obiettivi di investimento</w:t>
      </w:r>
      <w:r w:rsidR="00BA3008">
        <w:rPr>
          <w:rFonts w:ascii="Times New Roman" w:eastAsia="Times New Roman" w:hAnsi="Times New Roman" w:cs="Times New Roman"/>
          <w:sz w:val="20"/>
          <w:szCs w:val="20"/>
        </w:rPr>
        <w:t>, incluse le sue eventuali preferenze di sostenibilità,</w:t>
      </w:r>
      <w:r w:rsidRPr="00E34A0A">
        <w:rPr>
          <w:rFonts w:ascii="Times New Roman" w:eastAsia="Times New Roman" w:hAnsi="Times New Roman" w:cs="Times New Roman"/>
          <w:sz w:val="20"/>
          <w:szCs w:val="20"/>
        </w:rPr>
        <w:t xml:space="preserve"> sottopostogli prima della conclusione del presente contratto e in occasione di eventuali successivi aggiornamenti.</w:t>
      </w:r>
    </w:p>
    <w:p w14:paraId="688C6500" w14:textId="77777777" w:rsidR="00E34A0A" w:rsidRPr="00E34A0A" w:rsidRDefault="00E34A0A" w:rsidP="00E34A0A">
      <w:pPr>
        <w:ind w:right="141"/>
        <w:jc w:val="both"/>
        <w:rPr>
          <w:rFonts w:ascii="Times New Roman" w:eastAsia="Times New Roman" w:hAnsi="Times New Roman" w:cs="Times New Roman"/>
          <w:sz w:val="20"/>
          <w:szCs w:val="20"/>
        </w:rPr>
      </w:pPr>
    </w:p>
    <w:p w14:paraId="6D0BA79C" w14:textId="73A3E118"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10.2</w:t>
      </w:r>
      <w:r w:rsidRPr="00E34A0A">
        <w:rPr>
          <w:rFonts w:ascii="Times New Roman" w:eastAsia="Times New Roman" w:hAnsi="Times New Roman" w:cs="Times New Roman"/>
          <w:sz w:val="20"/>
          <w:szCs w:val="20"/>
        </w:rPr>
        <w:tab/>
        <w:t>In caso di rapporti cointestati, la valutazione di adeguatezza sarà condotta, salvo diverso accordo tra le parti, prendendo come riferimento: (i) per quanto riguarda la conoscenza ed esperienza in materia di investimenti, sia in caso di operatività a firma disgiunta sia in caso di operatività a firma congiunta,</w:t>
      </w:r>
      <w:r w:rsidRPr="00E34A0A">
        <w:rPr>
          <w:rFonts w:ascii="Times New Roman" w:eastAsia="Times New Roman" w:hAnsi="Times New Roman" w:cs="Times New Roman"/>
          <w:i/>
          <w:sz w:val="20"/>
          <w:szCs w:val="20"/>
        </w:rPr>
        <w:t xml:space="preserve"> </w:t>
      </w:r>
      <w:r w:rsidRPr="00E34A0A">
        <w:rPr>
          <w:rFonts w:ascii="Times New Roman" w:eastAsia="Times New Roman" w:hAnsi="Times New Roman" w:cs="Times New Roman"/>
          <w:sz w:val="20"/>
          <w:szCs w:val="20"/>
        </w:rPr>
        <w:t>il cointestatario dotato del minore livello di conoscenza ed esperienza;</w:t>
      </w:r>
      <w:r w:rsidRPr="00E34A0A">
        <w:rPr>
          <w:rFonts w:ascii="Times New Roman" w:eastAsia="Times New Roman" w:hAnsi="Times New Roman" w:cs="Times New Roman"/>
          <w:i/>
          <w:sz w:val="20"/>
          <w:szCs w:val="20"/>
        </w:rPr>
        <w:t xml:space="preserve"> </w:t>
      </w:r>
      <w:r w:rsidRPr="00E34A0A">
        <w:rPr>
          <w:rFonts w:ascii="Times New Roman" w:eastAsia="Times New Roman" w:hAnsi="Times New Roman" w:cs="Times New Roman"/>
          <w:sz w:val="20"/>
          <w:szCs w:val="20"/>
        </w:rPr>
        <w:t>(ii) per quanto riguarda la situazione finanziaria e gli obiettivi di investimento, il cointestatario dotato della peggiore situazione finanziaria e il cointestatario con gli obiettivi di investimento più conservativi</w:t>
      </w:r>
      <w:r w:rsidR="00BA3008">
        <w:rPr>
          <w:rFonts w:ascii="Times New Roman" w:eastAsia="Times New Roman" w:hAnsi="Times New Roman" w:cs="Times New Roman"/>
          <w:sz w:val="20"/>
          <w:szCs w:val="20"/>
        </w:rPr>
        <w:t xml:space="preserve">. Per quanto concerne specificamente le eventuali preferenze di sostenibilità, verrà preso a riferimento il cointestatario che ha espresso una maggiore sensibilità sui temi ambientali, sociali e di governance. Qualora i cointestatari abbiano indicato principali effetti negativi sui fattori di sostenibilità diversi tra loro, la </w:t>
      </w:r>
      <w:r w:rsidR="00BA3008" w:rsidRPr="0009326E">
        <w:rPr>
          <w:rFonts w:ascii="Times New Roman" w:eastAsia="Times New Roman" w:hAnsi="Times New Roman" w:cs="Times New Roman"/>
          <w:sz w:val="20"/>
          <w:szCs w:val="20"/>
        </w:rPr>
        <w:t>[</w:t>
      </w:r>
      <w:r w:rsidR="00BA3008" w:rsidRPr="0009326E">
        <w:rPr>
          <w:rFonts w:ascii="Times New Roman" w:eastAsia="Times New Roman" w:hAnsi="Times New Roman" w:cs="Times New Roman"/>
          <w:i/>
          <w:sz w:val="20"/>
          <w:szCs w:val="20"/>
        </w:rPr>
        <w:t>Banca / SIM</w:t>
      </w:r>
      <w:r w:rsidR="00BA3008" w:rsidRPr="0009326E">
        <w:rPr>
          <w:rFonts w:ascii="Times New Roman" w:eastAsia="Times New Roman" w:hAnsi="Times New Roman" w:cs="Times New Roman"/>
          <w:sz w:val="20"/>
          <w:szCs w:val="20"/>
        </w:rPr>
        <w:t>]</w:t>
      </w:r>
      <w:r w:rsidR="00BA3008">
        <w:rPr>
          <w:rFonts w:ascii="Times New Roman" w:eastAsia="Times New Roman" w:hAnsi="Times New Roman" w:cs="Times New Roman"/>
          <w:sz w:val="20"/>
          <w:szCs w:val="20"/>
        </w:rPr>
        <w:t xml:space="preserve"> potrà prenderne in considerazione anche solo uno in occasione della valutazione di adeguatezza</w:t>
      </w:r>
      <w:r w:rsidRPr="00E34A0A">
        <w:rPr>
          <w:rFonts w:ascii="Times New Roman" w:eastAsia="Times New Roman" w:hAnsi="Times New Roman" w:cs="Times New Roman"/>
          <w:sz w:val="20"/>
          <w:szCs w:val="20"/>
        </w:rPr>
        <w:t xml:space="preserve"> (</w:t>
      </w:r>
      <w:r w:rsidRPr="00E34A0A">
        <w:rPr>
          <w:rFonts w:ascii="Times New Roman" w:eastAsia="Times New Roman" w:hAnsi="Times New Roman" w:cs="Times New Roman"/>
          <w:sz w:val="20"/>
          <w:szCs w:val="20"/>
          <w:vertAlign w:val="superscript"/>
        </w:rPr>
        <w:footnoteReference w:customMarkFollows="1" w:id="8"/>
        <w:t>9</w:t>
      </w:r>
      <w:r w:rsidRPr="00E34A0A">
        <w:rPr>
          <w:rFonts w:ascii="Times New Roman" w:eastAsia="Times New Roman" w:hAnsi="Times New Roman" w:cs="Times New Roman"/>
          <w:sz w:val="20"/>
          <w:szCs w:val="20"/>
        </w:rPr>
        <w:t>).</w:t>
      </w:r>
    </w:p>
    <w:p w14:paraId="7329FA1D" w14:textId="77777777" w:rsidR="00E34A0A" w:rsidRPr="00E34A0A" w:rsidRDefault="00E34A0A" w:rsidP="00E34A0A">
      <w:pPr>
        <w:ind w:right="141"/>
        <w:jc w:val="both"/>
        <w:rPr>
          <w:rFonts w:ascii="Times New Roman" w:eastAsia="Times New Roman" w:hAnsi="Times New Roman" w:cs="Times New Roman"/>
          <w:sz w:val="20"/>
          <w:szCs w:val="20"/>
        </w:rPr>
      </w:pPr>
    </w:p>
    <w:p w14:paraId="2C6D20D9"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10.3</w:t>
      </w:r>
      <w:r w:rsidRPr="00E34A0A">
        <w:rPr>
          <w:rFonts w:ascii="Times New Roman" w:eastAsia="Times New Roman" w:hAnsi="Times New Roman" w:cs="Times New Roman"/>
          <w:sz w:val="20"/>
          <w:szCs w:val="20"/>
        </w:rPr>
        <w:tab/>
        <w:t>Il Cliente si impegna a fornire 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informazioni sul proprio profilo veritiere e aggiornate e a informare 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tempestivamente in caso di variazioni, anche al fine di consentire l’aggiornamento del profilo di rischio. Il Cliente si assume la responsabilità in merito al contenuto delle informazioni fornite.</w:t>
      </w:r>
    </w:p>
    <w:p w14:paraId="7191F77A" w14:textId="77777777" w:rsidR="00E34A0A" w:rsidRPr="00E34A0A" w:rsidRDefault="00E34A0A" w:rsidP="00E34A0A">
      <w:pPr>
        <w:ind w:right="141"/>
        <w:jc w:val="both"/>
        <w:rPr>
          <w:rFonts w:ascii="Times New Roman" w:eastAsia="Times New Roman" w:hAnsi="Times New Roman" w:cs="Times New Roman"/>
          <w:sz w:val="20"/>
          <w:szCs w:val="20"/>
        </w:rPr>
      </w:pPr>
    </w:p>
    <w:p w14:paraId="07CFEA93"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10.4</w:t>
      </w:r>
      <w:r w:rsidRPr="00E34A0A">
        <w:rPr>
          <w:rFonts w:ascii="Times New Roman" w:eastAsia="Times New Roman" w:hAnsi="Times New Roman" w:cs="Times New Roman"/>
          <w:sz w:val="20"/>
          <w:szCs w:val="20"/>
        </w:rPr>
        <w:tab/>
        <w:t>Il Cliente prende atto che l’eventuale rifiuto di fornire anche solo alcune delle informazioni richieste ai fini del presente articolo comporterà l’impossibilità per 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di prestare il Servizio. </w:t>
      </w:r>
    </w:p>
    <w:p w14:paraId="4E66C891" w14:textId="77777777" w:rsidR="00E34A0A" w:rsidRPr="00E34A0A" w:rsidRDefault="00E34A0A" w:rsidP="00E34A0A">
      <w:pPr>
        <w:ind w:left="705" w:right="141" w:hanging="705"/>
        <w:jc w:val="both"/>
        <w:rPr>
          <w:rFonts w:ascii="Times New Roman" w:eastAsia="Times New Roman" w:hAnsi="Times New Roman" w:cs="Times New Roman"/>
          <w:sz w:val="20"/>
          <w:szCs w:val="20"/>
        </w:rPr>
      </w:pPr>
    </w:p>
    <w:p w14:paraId="5829413C" w14:textId="77777777" w:rsid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10.5</w:t>
      </w:r>
      <w:r w:rsidRPr="00E34A0A">
        <w:rPr>
          <w:rFonts w:ascii="Times New Roman" w:eastAsia="Times New Roman" w:hAnsi="Times New Roman" w:cs="Times New Roman"/>
          <w:sz w:val="20"/>
          <w:szCs w:val="20"/>
        </w:rPr>
        <w:tab/>
        <w:t>In caso di rapporti intestati a persone giuridiche, la valutazione di adeguatezza sarà condotta, salvo diverso accordo tra le parti, prendendo come riferimento: (i) per quanto riguarda la conoscenza ed esperienza in materia di investimenti, il legale rappresentante e/o il soggetto munito di specifici e idonei poteri, dimostrati in via documentale, a richiedere le raccomandazioni di cui al Contratto; (ii) per quanto riguarda la situazione finanziaria e gli obiettivi di investimento, la persona giuridica, sulla base delle informazioni fornite dal suo legale rappresentante.</w:t>
      </w:r>
    </w:p>
    <w:p w14:paraId="41B87D7A" w14:textId="77777777" w:rsidR="00E34A0A" w:rsidRDefault="00E34A0A" w:rsidP="00E34A0A">
      <w:pPr>
        <w:ind w:left="705" w:right="141" w:hanging="705"/>
        <w:jc w:val="both"/>
        <w:rPr>
          <w:rFonts w:ascii="Times New Roman" w:eastAsia="Times New Roman" w:hAnsi="Times New Roman" w:cs="Times New Roman"/>
          <w:sz w:val="20"/>
          <w:szCs w:val="20"/>
        </w:rPr>
      </w:pPr>
    </w:p>
    <w:p w14:paraId="33B47ADE" w14:textId="77777777" w:rsidR="00E34A0A" w:rsidRPr="00E34A0A" w:rsidRDefault="00E34A0A" w:rsidP="00E34A0A">
      <w:pPr>
        <w:ind w:right="141"/>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11.</w:t>
      </w:r>
      <w:r w:rsidRPr="00E34A0A">
        <w:rPr>
          <w:rFonts w:ascii="Times New Roman" w:eastAsia="Times New Roman" w:hAnsi="Times New Roman" w:cs="Times New Roman"/>
          <w:b/>
          <w:sz w:val="20"/>
          <w:szCs w:val="20"/>
        </w:rPr>
        <w:tab/>
        <w:t>Report di adeguatezza</w:t>
      </w:r>
    </w:p>
    <w:p w14:paraId="2DDA6E64" w14:textId="77777777" w:rsidR="00E34A0A" w:rsidRPr="00E34A0A" w:rsidRDefault="00E34A0A" w:rsidP="00E34A0A">
      <w:pPr>
        <w:ind w:right="141"/>
        <w:jc w:val="both"/>
        <w:rPr>
          <w:rFonts w:ascii="Times New Roman" w:eastAsia="Times New Roman" w:hAnsi="Times New Roman" w:cs="Times New Roman"/>
          <w:b/>
          <w:sz w:val="20"/>
          <w:szCs w:val="20"/>
        </w:rPr>
      </w:pPr>
    </w:p>
    <w:p w14:paraId="2FC9C0B4" w14:textId="49C4A66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11.1</w:t>
      </w:r>
      <w:r w:rsidRPr="00E34A0A">
        <w:rPr>
          <w:rFonts w:ascii="Times New Roman" w:eastAsia="Times New Roman" w:hAnsi="Times New Roman" w:cs="Times New Roman"/>
          <w:sz w:val="20"/>
          <w:szCs w:val="20"/>
        </w:rPr>
        <w:tab/>
        <w:t>A fronte dell’elaborazione di ciascuna raccomandazione personalizzata, 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presenta al Cliente, su supporto durevole, una relazione datata e numerata che comprende una descrizione generale del Servizio prestato e delle ragioni per cui la raccomandazione fornita sia adeguata per il Cliente e risponda agli obiettivi </w:t>
      </w:r>
      <w:r w:rsidR="00ED1446">
        <w:rPr>
          <w:rFonts w:ascii="Times New Roman" w:eastAsia="Times New Roman" w:hAnsi="Times New Roman" w:cs="Times New Roman"/>
          <w:sz w:val="20"/>
          <w:szCs w:val="20"/>
        </w:rPr>
        <w:t>di inves</w:t>
      </w:r>
      <w:r w:rsidR="00F63A02">
        <w:rPr>
          <w:rFonts w:ascii="Times New Roman" w:eastAsia="Times New Roman" w:hAnsi="Times New Roman" w:cs="Times New Roman"/>
          <w:sz w:val="20"/>
          <w:szCs w:val="20"/>
        </w:rPr>
        <w:t>ti</w:t>
      </w:r>
      <w:r w:rsidR="00ED1446">
        <w:rPr>
          <w:rFonts w:ascii="Times New Roman" w:eastAsia="Times New Roman" w:hAnsi="Times New Roman" w:cs="Times New Roman"/>
          <w:sz w:val="20"/>
          <w:szCs w:val="20"/>
        </w:rPr>
        <w:t xml:space="preserve">mento, incluse le preferenze di sostenibilità, </w:t>
      </w:r>
      <w:r w:rsidRPr="00E34A0A">
        <w:rPr>
          <w:rFonts w:ascii="Times New Roman" w:eastAsia="Times New Roman" w:hAnsi="Times New Roman" w:cs="Times New Roman"/>
          <w:sz w:val="20"/>
          <w:szCs w:val="20"/>
        </w:rPr>
        <w:t>e alle circostanze personali del medesimo, in riferimento alla durata dell’investimento richiesta, alle conoscenze ed esperienze del Cliente, alla sua propensione al rischio e alla sua capacità di sostenere le perdite. Nel documento è indicata altresì l’adeguatezza del Portafoglio del Cliente rispetto al profilo di rischio di quest’ultimo, con riferimento sia alla situazione dello stesso nel momento in cui è stata formulata la raccomandazione, sia alla sua nuova composizione nell’ipotesi di esecuzione immediata di tutte le operazioni raccomandate. Per ciascuna operazione sono riportate le informazioni relative alla sua natura, al Prodotto/Strumento Finanziario o al servizio oggetto della stessa e vengono evidenziati eventuali condizioni/vincoli cui attenersi in fase di conclusione delle medesime. Sono inoltre fornite indicazioni in forma aggregata in merito a costi, oneri e incentivi connessi tanto al Prodotto Finanziario raccomandato, quanto al Servizio prestato, nel rispetto della Normativa di Riferimento.</w:t>
      </w:r>
    </w:p>
    <w:p w14:paraId="69F29314" w14:textId="77777777" w:rsidR="00E34A0A" w:rsidRPr="00E34A0A" w:rsidRDefault="00E34A0A" w:rsidP="00E34A0A">
      <w:pPr>
        <w:ind w:right="141"/>
        <w:jc w:val="both"/>
        <w:rPr>
          <w:rFonts w:ascii="Times New Roman" w:eastAsia="Times New Roman" w:hAnsi="Times New Roman" w:cs="Times New Roman"/>
          <w:b/>
          <w:sz w:val="20"/>
          <w:szCs w:val="20"/>
        </w:rPr>
      </w:pPr>
    </w:p>
    <w:p w14:paraId="1A01505E" w14:textId="77777777" w:rsidR="00E34A0A" w:rsidRPr="00E34A0A" w:rsidRDefault="00E34A0A" w:rsidP="00E34A0A">
      <w:pPr>
        <w:ind w:right="141"/>
        <w:jc w:val="both"/>
        <w:rPr>
          <w:rFonts w:ascii="Times New Roman" w:eastAsia="Times New Roman" w:hAnsi="Times New Roman" w:cs="Times New Roman"/>
          <w:b/>
          <w:i/>
          <w:sz w:val="20"/>
          <w:szCs w:val="20"/>
        </w:rPr>
      </w:pPr>
      <w:r w:rsidRPr="00E34A0A">
        <w:rPr>
          <w:rFonts w:ascii="Times New Roman" w:eastAsia="Times New Roman" w:hAnsi="Times New Roman" w:cs="Times New Roman"/>
          <w:b/>
          <w:sz w:val="20"/>
          <w:szCs w:val="20"/>
        </w:rPr>
        <w:t>[</w:t>
      </w:r>
      <w:r w:rsidRPr="00E34A0A">
        <w:rPr>
          <w:rFonts w:ascii="Times New Roman" w:eastAsia="Times New Roman" w:hAnsi="Times New Roman" w:cs="Times New Roman"/>
          <w:b/>
          <w:i/>
          <w:sz w:val="20"/>
          <w:szCs w:val="20"/>
        </w:rPr>
        <w:t>12.</w:t>
      </w:r>
      <w:r w:rsidRPr="00E34A0A">
        <w:rPr>
          <w:rFonts w:ascii="Times New Roman" w:eastAsia="Times New Roman" w:hAnsi="Times New Roman" w:cs="Times New Roman"/>
          <w:b/>
          <w:i/>
          <w:sz w:val="20"/>
          <w:szCs w:val="20"/>
        </w:rPr>
        <w:tab/>
        <w:t>Valutazione periodica di adeguatezza</w:t>
      </w:r>
    </w:p>
    <w:p w14:paraId="3F74E16B" w14:textId="77777777" w:rsidR="00E34A0A" w:rsidRPr="00E34A0A" w:rsidRDefault="00E34A0A" w:rsidP="00E34A0A">
      <w:pPr>
        <w:ind w:right="141"/>
        <w:jc w:val="both"/>
        <w:rPr>
          <w:rFonts w:ascii="Times New Roman" w:eastAsia="Times New Roman" w:hAnsi="Times New Roman" w:cs="Times New Roman"/>
          <w:b/>
          <w:i/>
          <w:sz w:val="20"/>
          <w:szCs w:val="20"/>
        </w:rPr>
      </w:pPr>
    </w:p>
    <w:p w14:paraId="01F8935A"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i/>
          <w:sz w:val="20"/>
          <w:szCs w:val="20"/>
        </w:rPr>
        <w:t>12.1</w:t>
      </w:r>
      <w:r w:rsidRPr="00E34A0A">
        <w:rPr>
          <w:rFonts w:ascii="Times New Roman" w:eastAsia="Times New Roman" w:hAnsi="Times New Roman" w:cs="Times New Roman"/>
          <w:i/>
          <w:sz w:val="20"/>
          <w:szCs w:val="20"/>
        </w:rPr>
        <w:tab/>
        <w:t>La [Banca / SIM] valuta l’adeguatezza nel tempo delle raccomandazioni effettuate e invia al Cliente, con cadenza annuale, salva diversa richiesta del Cliente, su supporto durevole, un rendiconto circa l’adeguatezza delle raccomandazioni fornite e del portafoglio rispetto al profilo del Cliente stesso</w:t>
      </w:r>
      <w:r w:rsidRPr="00E34A0A">
        <w:rPr>
          <w:rFonts w:ascii="Times New Roman" w:eastAsia="Times New Roman" w:hAnsi="Times New Roman" w:cs="Times New Roman"/>
          <w:sz w:val="20"/>
          <w:szCs w:val="20"/>
        </w:rPr>
        <w:t>] (</w:t>
      </w:r>
      <w:r w:rsidRPr="00E34A0A">
        <w:rPr>
          <w:rFonts w:ascii="Times New Roman" w:eastAsia="Times New Roman" w:hAnsi="Times New Roman" w:cs="Times New Roman"/>
          <w:sz w:val="20"/>
          <w:szCs w:val="20"/>
          <w:vertAlign w:val="superscript"/>
        </w:rPr>
        <w:footnoteReference w:customMarkFollows="1" w:id="9"/>
        <w:t>11</w:t>
      </w:r>
      <w:r w:rsidRPr="00E34A0A">
        <w:rPr>
          <w:rFonts w:ascii="Times New Roman" w:eastAsia="Times New Roman" w:hAnsi="Times New Roman" w:cs="Times New Roman"/>
          <w:sz w:val="20"/>
          <w:szCs w:val="20"/>
        </w:rPr>
        <w:t>).</w:t>
      </w:r>
    </w:p>
    <w:p w14:paraId="38399021" w14:textId="77777777" w:rsidR="00E34A0A" w:rsidRPr="00E34A0A" w:rsidRDefault="00E34A0A" w:rsidP="00E34A0A">
      <w:pPr>
        <w:ind w:right="141"/>
        <w:jc w:val="both"/>
        <w:rPr>
          <w:rFonts w:ascii="Times New Roman" w:eastAsia="Times New Roman" w:hAnsi="Times New Roman" w:cs="Times New Roman"/>
          <w:sz w:val="20"/>
          <w:szCs w:val="20"/>
        </w:rPr>
      </w:pPr>
    </w:p>
    <w:p w14:paraId="135B10D1" w14:textId="77777777" w:rsidR="00E34A0A" w:rsidRPr="00E34A0A" w:rsidRDefault="00E34A0A" w:rsidP="00E34A0A">
      <w:pPr>
        <w:ind w:right="141"/>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13.</w:t>
      </w:r>
      <w:r w:rsidRPr="00E34A0A">
        <w:rPr>
          <w:rFonts w:ascii="Times New Roman" w:eastAsia="Times New Roman" w:hAnsi="Times New Roman" w:cs="Times New Roman"/>
          <w:b/>
          <w:sz w:val="20"/>
          <w:szCs w:val="20"/>
        </w:rPr>
        <w:tab/>
        <w:t>Durata del contratto, recesso e risoluzione</w:t>
      </w:r>
    </w:p>
    <w:p w14:paraId="27A0EFB4" w14:textId="77777777" w:rsidR="00E34A0A" w:rsidRPr="00E34A0A" w:rsidRDefault="00E34A0A" w:rsidP="00E34A0A">
      <w:pPr>
        <w:ind w:right="141"/>
        <w:jc w:val="both"/>
        <w:rPr>
          <w:rFonts w:ascii="Times New Roman" w:eastAsia="Times New Roman" w:hAnsi="Times New Roman" w:cs="Times New Roman"/>
          <w:sz w:val="20"/>
          <w:szCs w:val="20"/>
        </w:rPr>
      </w:pPr>
    </w:p>
    <w:p w14:paraId="641894B2"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13.1</w:t>
      </w:r>
      <w:r w:rsidRPr="00E34A0A">
        <w:rPr>
          <w:rFonts w:ascii="Times New Roman" w:eastAsia="Times New Roman" w:hAnsi="Times New Roman" w:cs="Times New Roman"/>
          <w:sz w:val="20"/>
          <w:szCs w:val="20"/>
        </w:rPr>
        <w:tab/>
        <w:t>Il presente contratto è a tempo indeterminato e ciascuna parte potrà recedere con preavviso scritto di almeno [7/15] giorni.  Il recesso è efficace dal momento in cui la parte non recedente ne riceve comunicazione via raccomandata A.R., decorso il termine di preavviso.</w:t>
      </w:r>
    </w:p>
    <w:p w14:paraId="1E0D555F" w14:textId="77777777" w:rsidR="00E34A0A" w:rsidRPr="00E34A0A" w:rsidRDefault="00E34A0A" w:rsidP="00E34A0A">
      <w:pPr>
        <w:ind w:right="141"/>
        <w:jc w:val="both"/>
        <w:rPr>
          <w:rFonts w:ascii="Times New Roman" w:eastAsia="Times New Roman" w:hAnsi="Times New Roman" w:cs="Times New Roman"/>
          <w:sz w:val="20"/>
          <w:szCs w:val="20"/>
        </w:rPr>
      </w:pPr>
    </w:p>
    <w:p w14:paraId="0090D5C9" w14:textId="07E5886B" w:rsidR="00E34A0A" w:rsidRPr="00E34A0A" w:rsidRDefault="00E34A0A" w:rsidP="00E34A0A">
      <w:pPr>
        <w:ind w:left="705" w:right="141" w:hanging="705"/>
        <w:jc w:val="both"/>
        <w:rPr>
          <w:rFonts w:ascii="Times New Roman" w:eastAsia="Times New Roman" w:hAnsi="Times New Roman" w:cs="Times New Roman"/>
          <w:sz w:val="20"/>
        </w:rPr>
      </w:pPr>
      <w:r w:rsidRPr="00E34A0A">
        <w:rPr>
          <w:rFonts w:ascii="Times New Roman" w:eastAsia="Times New Roman" w:hAnsi="Times New Roman" w:cs="Times New Roman"/>
          <w:sz w:val="20"/>
        </w:rPr>
        <w:t>13.2</w:t>
      </w:r>
      <w:r w:rsidRPr="00E34A0A">
        <w:rPr>
          <w:rFonts w:ascii="Times New Roman" w:eastAsia="Times New Roman" w:hAnsi="Times New Roman" w:cs="Times New Roman"/>
          <w:sz w:val="20"/>
        </w:rPr>
        <w:tab/>
        <w:t xml:space="preserve">La </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sz w:val="20"/>
        </w:rPr>
        <w:t xml:space="preserve"> potrà risolvere il presente accordo, ai sensi dell’articolo 1456 c.c., con comunicazione scritta inviata al Cliente con lettera raccomandata </w:t>
      </w:r>
      <w:r w:rsidRPr="00E34A0A">
        <w:rPr>
          <w:rFonts w:ascii="Times New Roman" w:eastAsia="Times New Roman" w:hAnsi="Times New Roman" w:cs="Times New Roman"/>
          <w:sz w:val="20"/>
          <w:szCs w:val="20"/>
        </w:rPr>
        <w:t xml:space="preserve">A.R. </w:t>
      </w:r>
      <w:r w:rsidRPr="00E34A0A">
        <w:rPr>
          <w:rFonts w:ascii="Times New Roman" w:eastAsia="Times New Roman" w:hAnsi="Times New Roman" w:cs="Times New Roman"/>
          <w:sz w:val="20"/>
        </w:rPr>
        <w:t xml:space="preserve">o per </w:t>
      </w:r>
      <w:r w:rsidR="00BF499B">
        <w:rPr>
          <w:rFonts w:ascii="Times New Roman" w:eastAsia="Times New Roman" w:hAnsi="Times New Roman" w:cs="Times New Roman"/>
          <w:sz w:val="20"/>
        </w:rPr>
        <w:t>PEC</w:t>
      </w:r>
      <w:r w:rsidRPr="00E34A0A">
        <w:rPr>
          <w:rFonts w:ascii="Times New Roman" w:eastAsia="Times New Roman" w:hAnsi="Times New Roman" w:cs="Times New Roman"/>
          <w:sz w:val="20"/>
        </w:rPr>
        <w:t xml:space="preserve">, in caso di inadempimento da parte del Cliente agli obblighi di pagamento alla </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sz w:val="20"/>
        </w:rPr>
        <w:t xml:space="preserve"> delle commissioni e delle spese dovute.</w:t>
      </w:r>
    </w:p>
    <w:p w14:paraId="4F66434E" w14:textId="77777777" w:rsidR="00E34A0A" w:rsidRPr="00E34A0A" w:rsidRDefault="00E34A0A" w:rsidP="00E34A0A">
      <w:pPr>
        <w:tabs>
          <w:tab w:val="left" w:pos="851"/>
        </w:tabs>
        <w:ind w:right="141"/>
        <w:jc w:val="both"/>
        <w:rPr>
          <w:rFonts w:ascii="Times New Roman" w:eastAsia="Times New Roman" w:hAnsi="Times New Roman" w:cs="Times New Roman"/>
          <w:sz w:val="20"/>
        </w:rPr>
      </w:pPr>
      <w:r w:rsidRPr="00E34A0A">
        <w:rPr>
          <w:rFonts w:ascii="Times New Roman" w:eastAsia="Times New Roman" w:hAnsi="Times New Roman" w:cs="Times New Roman"/>
          <w:sz w:val="20"/>
        </w:rPr>
        <w:t xml:space="preserve"> </w:t>
      </w:r>
    </w:p>
    <w:p w14:paraId="2130E586" w14:textId="77777777" w:rsidR="00E34A0A" w:rsidRPr="00E34A0A" w:rsidRDefault="00E34A0A" w:rsidP="00E34A0A">
      <w:pPr>
        <w:widowControl w:val="0"/>
        <w:ind w:right="144"/>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14.</w:t>
      </w:r>
      <w:r w:rsidRPr="00E34A0A">
        <w:rPr>
          <w:rFonts w:ascii="Times New Roman" w:eastAsia="Times New Roman" w:hAnsi="Times New Roman" w:cs="Times New Roman"/>
          <w:b/>
          <w:sz w:val="20"/>
          <w:szCs w:val="20"/>
        </w:rPr>
        <w:tab/>
        <w:t>Computo dei termini</w:t>
      </w:r>
    </w:p>
    <w:p w14:paraId="6BE210FB" w14:textId="77777777" w:rsidR="00E34A0A" w:rsidRPr="00E34A0A" w:rsidRDefault="00E34A0A" w:rsidP="00E34A0A">
      <w:pPr>
        <w:keepNext/>
        <w:ind w:right="144"/>
        <w:jc w:val="both"/>
        <w:rPr>
          <w:rFonts w:ascii="Times New Roman" w:eastAsia="Times New Roman" w:hAnsi="Times New Roman" w:cs="Times New Roman"/>
          <w:sz w:val="20"/>
          <w:szCs w:val="20"/>
        </w:rPr>
      </w:pPr>
    </w:p>
    <w:p w14:paraId="5AB25C13"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14.1</w:t>
      </w:r>
      <w:r w:rsidRPr="00E34A0A">
        <w:rPr>
          <w:rFonts w:ascii="Times New Roman" w:eastAsia="Times New Roman" w:hAnsi="Times New Roman" w:cs="Times New Roman"/>
          <w:sz w:val="20"/>
          <w:szCs w:val="20"/>
        </w:rPr>
        <w:tab/>
        <w:t>Tutti i termini previsti nel presente contratto si computeranno tenendo conto dei soli giorni feriali, escluso il sabato.</w:t>
      </w:r>
    </w:p>
    <w:p w14:paraId="07833E84" w14:textId="77777777" w:rsidR="00E34A0A" w:rsidRPr="00E34A0A" w:rsidRDefault="00E34A0A" w:rsidP="00E34A0A">
      <w:pPr>
        <w:widowControl w:val="0"/>
        <w:ind w:right="141"/>
        <w:jc w:val="both"/>
        <w:rPr>
          <w:rFonts w:ascii="Times New Roman" w:eastAsia="Times New Roman" w:hAnsi="Times New Roman" w:cs="Times New Roman"/>
          <w:sz w:val="20"/>
          <w:szCs w:val="20"/>
        </w:rPr>
      </w:pPr>
    </w:p>
    <w:p w14:paraId="5101F9DC" w14:textId="77777777" w:rsidR="00E34A0A" w:rsidRPr="00E34A0A" w:rsidRDefault="00E34A0A" w:rsidP="00E34A0A">
      <w:pPr>
        <w:widowControl w:val="0"/>
        <w:ind w:right="144"/>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15.</w:t>
      </w:r>
      <w:r w:rsidRPr="00E34A0A">
        <w:rPr>
          <w:rFonts w:ascii="Times New Roman" w:eastAsia="Times New Roman" w:hAnsi="Times New Roman" w:cs="Times New Roman"/>
          <w:b/>
          <w:sz w:val="20"/>
          <w:szCs w:val="20"/>
        </w:rPr>
        <w:tab/>
        <w:t>Comunicazioni tra le parti</w:t>
      </w:r>
    </w:p>
    <w:p w14:paraId="53DB57B2" w14:textId="77777777" w:rsidR="00E34A0A" w:rsidRPr="00E34A0A" w:rsidRDefault="00E34A0A" w:rsidP="00E34A0A">
      <w:pPr>
        <w:widowControl w:val="0"/>
        <w:ind w:right="144"/>
        <w:jc w:val="both"/>
        <w:rPr>
          <w:rFonts w:ascii="Times New Roman" w:eastAsia="Times New Roman" w:hAnsi="Times New Roman" w:cs="Times New Roman"/>
          <w:b/>
          <w:sz w:val="20"/>
          <w:szCs w:val="20"/>
        </w:rPr>
      </w:pPr>
    </w:p>
    <w:p w14:paraId="0AB1823F" w14:textId="6982AC29" w:rsidR="0053582A" w:rsidRDefault="00E34A0A" w:rsidP="001268DB">
      <w:pPr>
        <w:keepNext/>
        <w:ind w:left="705" w:right="144" w:hanging="705"/>
        <w:jc w:val="both"/>
        <w:rPr>
          <w:rFonts w:ascii="Times New Roman" w:eastAsia="Times New Roman" w:hAnsi="Times New Roman" w:cs="Times New Roman"/>
          <w:sz w:val="20"/>
        </w:rPr>
      </w:pPr>
      <w:r w:rsidRPr="00E34A0A">
        <w:rPr>
          <w:rFonts w:ascii="Times New Roman" w:eastAsia="Times New Roman" w:hAnsi="Times New Roman" w:cs="Times New Roman"/>
          <w:sz w:val="20"/>
          <w:szCs w:val="20"/>
        </w:rPr>
        <w:t>15.1</w:t>
      </w:r>
      <w:r w:rsidRPr="00E34A0A">
        <w:rPr>
          <w:rFonts w:ascii="Times New Roman" w:eastAsia="Times New Roman" w:hAnsi="Times New Roman" w:cs="Times New Roman"/>
          <w:sz w:val="20"/>
          <w:szCs w:val="20"/>
        </w:rPr>
        <w:tab/>
        <w:t>Fatto salvo quanto previsto in altri articoli del presente contratto, le comunicazioni di ogni tipo tra le parti ai sensi del presente contratto, diverse dalle comunicazioni dalla Banca al Cliente per le quali la Normativa di Riferimento impone il supporto durevole, saranno effettuate, se non diversamente disposto dal presente contratto, via posta elettronica</w:t>
      </w:r>
      <w:r w:rsidR="0053582A">
        <w:rPr>
          <w:rFonts w:ascii="Times New Roman" w:eastAsia="Times New Roman" w:hAnsi="Times New Roman" w:cs="Times New Roman"/>
          <w:sz w:val="20"/>
          <w:szCs w:val="20"/>
        </w:rPr>
        <w:t xml:space="preserve"> </w:t>
      </w:r>
      <w:r w:rsidR="0053582A">
        <w:rPr>
          <w:rFonts w:ascii="Times New Roman" w:eastAsia="Times New Roman" w:hAnsi="Times New Roman" w:cs="Times New Roman"/>
          <w:sz w:val="20"/>
        </w:rPr>
        <w:t xml:space="preserve">all’indirizzo fornito in anagrafica o successivamente modificato. </w:t>
      </w:r>
    </w:p>
    <w:p w14:paraId="555C0432" w14:textId="77777777" w:rsidR="00E34A0A" w:rsidRPr="00E34A0A" w:rsidRDefault="00E34A0A" w:rsidP="001268DB">
      <w:pPr>
        <w:keepNext/>
        <w:ind w:left="705" w:right="144" w:hanging="705"/>
        <w:jc w:val="both"/>
        <w:rPr>
          <w:rFonts w:ascii="Times New Roman" w:eastAsia="Times New Roman" w:hAnsi="Times New Roman" w:cs="Times New Roman"/>
          <w:sz w:val="20"/>
          <w:szCs w:val="20"/>
        </w:rPr>
      </w:pPr>
    </w:p>
    <w:p w14:paraId="4619D106" w14:textId="77777777" w:rsidR="00E34A0A" w:rsidRPr="00E34A0A" w:rsidRDefault="00E34A0A" w:rsidP="00E34A0A">
      <w:pPr>
        <w:ind w:left="705"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15.2</w:t>
      </w:r>
      <w:r w:rsidRPr="00E34A0A">
        <w:rPr>
          <w:rFonts w:ascii="Times New Roman" w:eastAsia="Times New Roman" w:hAnsi="Times New Roman" w:cs="Times New Roman"/>
          <w:sz w:val="20"/>
          <w:szCs w:val="20"/>
        </w:rPr>
        <w:tab/>
        <w:t>Il Cliente riconosce che il recapito riportato in anagrafica costituisce elezione di domicilio ai sensi dell’art. 47 c.c. Pertanto, ogni comunicazione o notifica dalla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al Cliente, </w:t>
      </w:r>
      <w:r w:rsidRPr="00E34A0A">
        <w:rPr>
          <w:rFonts w:ascii="Times New Roman" w:eastAsia="Times New Roman" w:hAnsi="Times New Roman" w:cs="Times New Roman"/>
          <w:sz w:val="20"/>
          <w:szCs w:val="20"/>
        </w:rPr>
        <w:lastRenderedPageBreak/>
        <w:t>comprese quelle previste dalla Normativa di Riferimento, saranno validamente eseguite al Cliente presso tale indirizzo. Le eventuali successive modifiche di recapiti di corrispondenza dovranno essere notificate all’altra Parte mediante comunicazione scritta.</w:t>
      </w:r>
    </w:p>
    <w:p w14:paraId="6774AB5E" w14:textId="77777777" w:rsidR="00E34A0A" w:rsidRPr="00E34A0A" w:rsidRDefault="00E34A0A" w:rsidP="00E34A0A">
      <w:pPr>
        <w:ind w:right="141"/>
        <w:jc w:val="both"/>
        <w:rPr>
          <w:rFonts w:ascii="Times New Roman" w:eastAsia="Times New Roman" w:hAnsi="Times New Roman" w:cs="Times New Roman"/>
          <w:b/>
          <w:sz w:val="20"/>
        </w:rPr>
      </w:pPr>
    </w:p>
    <w:p w14:paraId="01DF2D56" w14:textId="77777777" w:rsidR="00E34A0A" w:rsidRPr="00E34A0A" w:rsidRDefault="00E34A0A" w:rsidP="00E34A0A">
      <w:pPr>
        <w:ind w:right="141"/>
        <w:jc w:val="both"/>
        <w:rPr>
          <w:rFonts w:ascii="Times New Roman" w:eastAsia="Times New Roman" w:hAnsi="Times New Roman" w:cs="Times New Roman"/>
          <w:b/>
          <w:sz w:val="20"/>
        </w:rPr>
      </w:pPr>
      <w:r w:rsidRPr="00E34A0A">
        <w:rPr>
          <w:rFonts w:ascii="Times New Roman" w:eastAsia="Times New Roman" w:hAnsi="Times New Roman" w:cs="Times New Roman"/>
          <w:b/>
          <w:sz w:val="20"/>
        </w:rPr>
        <w:t>16.</w:t>
      </w:r>
      <w:r w:rsidRPr="00E34A0A">
        <w:rPr>
          <w:rFonts w:ascii="Times New Roman" w:eastAsia="Times New Roman" w:hAnsi="Times New Roman" w:cs="Times New Roman"/>
          <w:b/>
          <w:sz w:val="20"/>
        </w:rPr>
        <w:tab/>
        <w:t>Modifiche contrattuali</w:t>
      </w:r>
    </w:p>
    <w:p w14:paraId="69DAFD34" w14:textId="77777777" w:rsidR="00E34A0A" w:rsidRPr="00E34A0A" w:rsidRDefault="00E34A0A" w:rsidP="00E34A0A">
      <w:pPr>
        <w:ind w:right="141"/>
        <w:jc w:val="both"/>
        <w:rPr>
          <w:rFonts w:ascii="Times New Roman" w:eastAsia="Times New Roman" w:hAnsi="Times New Roman" w:cs="Times New Roman"/>
          <w:sz w:val="20"/>
        </w:rPr>
      </w:pPr>
    </w:p>
    <w:p w14:paraId="1130A03E" w14:textId="2DCB63C6" w:rsidR="00E34A0A" w:rsidRPr="00E34A0A" w:rsidRDefault="00E34A0A" w:rsidP="00E34A0A">
      <w:pPr>
        <w:ind w:left="705" w:right="141" w:hanging="705"/>
        <w:jc w:val="both"/>
        <w:rPr>
          <w:rFonts w:ascii="Times New Roman" w:eastAsia="Times New Roman" w:hAnsi="Times New Roman" w:cs="Times New Roman"/>
          <w:sz w:val="20"/>
        </w:rPr>
      </w:pPr>
      <w:r w:rsidRPr="00E34A0A">
        <w:rPr>
          <w:rFonts w:ascii="Times New Roman" w:eastAsia="Times New Roman" w:hAnsi="Times New Roman" w:cs="Times New Roman"/>
          <w:sz w:val="20"/>
        </w:rPr>
        <w:t xml:space="preserve">16.1 </w:t>
      </w:r>
      <w:r w:rsidRPr="00E34A0A">
        <w:rPr>
          <w:rFonts w:ascii="Times New Roman" w:eastAsia="Times New Roman" w:hAnsi="Times New Roman" w:cs="Times New Roman"/>
          <w:sz w:val="20"/>
        </w:rPr>
        <w:tab/>
        <w:t xml:space="preserve">La </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xml:space="preserve">] </w:t>
      </w:r>
      <w:r w:rsidRPr="00E34A0A">
        <w:rPr>
          <w:rFonts w:ascii="Times New Roman" w:eastAsia="Times New Roman" w:hAnsi="Times New Roman" w:cs="Times New Roman"/>
          <w:sz w:val="20"/>
        </w:rPr>
        <w:t xml:space="preserve">ha la facoltà di modificare, qualora sussista un giustificato motivo e in qualsiasi momento, le norme che regolano il presente contratto e le relative condizioni economiche, previa comunicazione scritta al Cliente, effettuata mediante lettera raccomandata con ricevuta di ritorno o per </w:t>
      </w:r>
      <w:r w:rsidR="00BF499B">
        <w:rPr>
          <w:rFonts w:ascii="Times New Roman" w:eastAsia="Times New Roman" w:hAnsi="Times New Roman" w:cs="Times New Roman"/>
          <w:sz w:val="20"/>
        </w:rPr>
        <w:t>PEC</w:t>
      </w:r>
      <w:r w:rsidRPr="00E34A0A">
        <w:rPr>
          <w:rFonts w:ascii="Times New Roman" w:eastAsia="Times New Roman" w:hAnsi="Times New Roman" w:cs="Times New Roman"/>
          <w:sz w:val="20"/>
        </w:rPr>
        <w:t xml:space="preserve">, con preavviso non inferiore a [15 / 30] giorni. Entro tale termine, il Cliente può recedere dal contratto, senza spese e penalità, inviando una comunicazione scritta alla </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w:t>
      </w:r>
      <w:r w:rsidRPr="00E34A0A">
        <w:rPr>
          <w:rFonts w:ascii="Times New Roman" w:eastAsia="Times New Roman" w:hAnsi="Times New Roman" w:cs="Times New Roman"/>
          <w:sz w:val="20"/>
        </w:rPr>
        <w:t>.</w:t>
      </w:r>
    </w:p>
    <w:p w14:paraId="118027AB" w14:textId="77777777" w:rsidR="00E34A0A" w:rsidRPr="00E34A0A" w:rsidRDefault="00E34A0A" w:rsidP="00E34A0A">
      <w:pPr>
        <w:ind w:right="141"/>
        <w:jc w:val="both"/>
        <w:rPr>
          <w:rFonts w:ascii="Times New Roman" w:eastAsia="Times New Roman" w:hAnsi="Times New Roman" w:cs="Times New Roman"/>
          <w:sz w:val="20"/>
        </w:rPr>
      </w:pPr>
    </w:p>
    <w:p w14:paraId="7C7E86FC" w14:textId="6EBF6563" w:rsidR="00E34A0A" w:rsidRPr="00E34A0A" w:rsidRDefault="00E34A0A" w:rsidP="00E34A0A">
      <w:pPr>
        <w:ind w:left="705" w:right="141" w:hanging="705"/>
        <w:jc w:val="both"/>
        <w:rPr>
          <w:rFonts w:ascii="Times New Roman" w:eastAsia="Times New Roman" w:hAnsi="Times New Roman" w:cs="Times New Roman"/>
          <w:sz w:val="20"/>
        </w:rPr>
      </w:pPr>
      <w:r w:rsidRPr="00E34A0A">
        <w:rPr>
          <w:rFonts w:ascii="Times New Roman" w:eastAsia="Times New Roman" w:hAnsi="Times New Roman" w:cs="Times New Roman"/>
          <w:sz w:val="20"/>
        </w:rPr>
        <w:t>16.2</w:t>
      </w:r>
      <w:r w:rsidRPr="00E34A0A">
        <w:rPr>
          <w:rFonts w:ascii="Times New Roman" w:eastAsia="Times New Roman" w:hAnsi="Times New Roman" w:cs="Times New Roman"/>
          <w:sz w:val="20"/>
        </w:rPr>
        <w:tab/>
        <w:t>Le parti concordano che saranno automaticamente recepite nel contratto, senza necessità del ricorso alla procedura prevista dall’art. 1</w:t>
      </w:r>
      <w:r w:rsidR="0053582A">
        <w:rPr>
          <w:rFonts w:ascii="Times New Roman" w:eastAsia="Times New Roman" w:hAnsi="Times New Roman" w:cs="Times New Roman"/>
          <w:sz w:val="20"/>
        </w:rPr>
        <w:t>6</w:t>
      </w:r>
      <w:r w:rsidRPr="00E34A0A">
        <w:rPr>
          <w:rFonts w:ascii="Times New Roman" w:eastAsia="Times New Roman" w:hAnsi="Times New Roman" w:cs="Times New Roman"/>
          <w:sz w:val="20"/>
        </w:rPr>
        <w:t xml:space="preserve">.1, le modifiche necessarie per adeguarsi alla Normativa di Riferimento </w:t>
      </w:r>
      <w:r w:rsidRPr="00E34A0A">
        <w:rPr>
          <w:rFonts w:ascii="Times New Roman" w:eastAsia="Times New Roman" w:hAnsi="Times New Roman" w:cs="Times New Roman"/>
          <w:i/>
          <w:sz w:val="20"/>
        </w:rPr>
        <w:t xml:space="preserve">pro tempore </w:t>
      </w:r>
      <w:r w:rsidRPr="00E34A0A">
        <w:rPr>
          <w:rFonts w:ascii="Times New Roman" w:eastAsia="Times New Roman" w:hAnsi="Times New Roman" w:cs="Times New Roman"/>
          <w:sz w:val="20"/>
        </w:rPr>
        <w:t>vigente.</w:t>
      </w:r>
    </w:p>
    <w:p w14:paraId="1D0D76C6" w14:textId="77777777" w:rsidR="00E34A0A" w:rsidRPr="00E34A0A" w:rsidRDefault="00E34A0A" w:rsidP="00E34A0A">
      <w:pPr>
        <w:ind w:right="141"/>
        <w:jc w:val="both"/>
        <w:rPr>
          <w:rFonts w:ascii="Times New Roman" w:eastAsia="Times New Roman" w:hAnsi="Times New Roman" w:cs="Times New Roman"/>
          <w:sz w:val="20"/>
        </w:rPr>
      </w:pPr>
    </w:p>
    <w:p w14:paraId="28923BE9" w14:textId="77777777" w:rsidR="00E34A0A" w:rsidRPr="00E34A0A" w:rsidRDefault="00E34A0A" w:rsidP="00E34A0A">
      <w:pPr>
        <w:ind w:right="141"/>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17.</w:t>
      </w:r>
      <w:r w:rsidRPr="00E34A0A">
        <w:rPr>
          <w:rFonts w:ascii="Times New Roman" w:eastAsia="Times New Roman" w:hAnsi="Times New Roman" w:cs="Times New Roman"/>
          <w:b/>
          <w:sz w:val="20"/>
          <w:szCs w:val="20"/>
        </w:rPr>
        <w:tab/>
        <w:t>Legge applicabile</w:t>
      </w:r>
    </w:p>
    <w:p w14:paraId="0D11130B" w14:textId="77777777" w:rsidR="00E34A0A" w:rsidRPr="00E34A0A" w:rsidRDefault="00E34A0A" w:rsidP="00E34A0A">
      <w:pPr>
        <w:ind w:right="141"/>
        <w:jc w:val="both"/>
        <w:rPr>
          <w:rFonts w:ascii="Times New Roman" w:eastAsia="Times New Roman" w:hAnsi="Times New Roman" w:cs="Times New Roman"/>
          <w:b/>
          <w:sz w:val="20"/>
          <w:szCs w:val="20"/>
        </w:rPr>
      </w:pPr>
    </w:p>
    <w:p w14:paraId="631445B7" w14:textId="77777777" w:rsidR="00E34A0A" w:rsidRPr="00E34A0A" w:rsidRDefault="00E34A0A" w:rsidP="00E34A0A">
      <w:pPr>
        <w:ind w:right="141" w:firstLine="709"/>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Il presente contratto è regolato dalla legge italiana.</w:t>
      </w:r>
    </w:p>
    <w:p w14:paraId="1BC36A94" w14:textId="77777777" w:rsidR="00E34A0A" w:rsidRPr="00E34A0A" w:rsidRDefault="00E34A0A" w:rsidP="00E34A0A">
      <w:pPr>
        <w:ind w:right="141"/>
        <w:jc w:val="both"/>
        <w:rPr>
          <w:rFonts w:ascii="Times New Roman" w:eastAsia="Times New Roman" w:hAnsi="Times New Roman" w:cs="Times New Roman"/>
          <w:sz w:val="20"/>
          <w:szCs w:val="20"/>
        </w:rPr>
      </w:pPr>
    </w:p>
    <w:p w14:paraId="32DC753A" w14:textId="77777777" w:rsidR="00E34A0A" w:rsidRPr="00E34A0A" w:rsidRDefault="00E34A0A" w:rsidP="00E34A0A">
      <w:pPr>
        <w:ind w:right="141"/>
        <w:jc w:val="both"/>
        <w:rPr>
          <w:rFonts w:ascii="Times New Roman" w:eastAsia="Times New Roman" w:hAnsi="Times New Roman" w:cs="Times New Roman"/>
          <w:b/>
          <w:sz w:val="20"/>
          <w:szCs w:val="20"/>
        </w:rPr>
      </w:pPr>
      <w:r w:rsidRPr="00E34A0A">
        <w:rPr>
          <w:rFonts w:ascii="Times New Roman" w:eastAsia="Times New Roman" w:hAnsi="Times New Roman" w:cs="Times New Roman"/>
          <w:b/>
          <w:sz w:val="20"/>
          <w:szCs w:val="20"/>
        </w:rPr>
        <w:t>18.</w:t>
      </w:r>
      <w:r w:rsidRPr="00E34A0A">
        <w:rPr>
          <w:rFonts w:ascii="Times New Roman" w:eastAsia="Times New Roman" w:hAnsi="Times New Roman" w:cs="Times New Roman"/>
          <w:b/>
          <w:sz w:val="20"/>
          <w:szCs w:val="20"/>
        </w:rPr>
        <w:tab/>
        <w:t xml:space="preserve">Reclami, sistemi di risoluzione alternativi delle controversie e foro competente </w:t>
      </w:r>
    </w:p>
    <w:p w14:paraId="4E89F428" w14:textId="77777777" w:rsidR="00E34A0A" w:rsidRPr="00E34A0A" w:rsidRDefault="00E34A0A" w:rsidP="00E34A0A">
      <w:pPr>
        <w:ind w:right="141"/>
        <w:jc w:val="both"/>
        <w:rPr>
          <w:rFonts w:ascii="Times New Roman" w:eastAsia="Times New Roman" w:hAnsi="Times New Roman" w:cs="Times New Roman"/>
          <w:sz w:val="20"/>
          <w:szCs w:val="20"/>
        </w:rPr>
      </w:pPr>
    </w:p>
    <w:p w14:paraId="1D688451" w14:textId="4CA56E32" w:rsidR="00E34A0A" w:rsidRPr="00E34A0A" w:rsidRDefault="00E34A0A" w:rsidP="00E34A0A">
      <w:pPr>
        <w:keepNext/>
        <w:ind w:left="709" w:right="144" w:hanging="709"/>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18.1</w:t>
      </w:r>
      <w:r w:rsidRPr="00E34A0A">
        <w:rPr>
          <w:rFonts w:ascii="Times New Roman" w:eastAsia="Times New Roman" w:hAnsi="Times New Roman" w:cs="Times New Roman"/>
          <w:sz w:val="20"/>
          <w:szCs w:val="20"/>
        </w:rPr>
        <w:tab/>
        <w:t xml:space="preserve">Per eventuali contestazioni in relazione all’interpretazione e/o all’esecuzione del presente contratto, il Cliente può rivolgersi all’Ufficio Reclami della [Banca / SIM], tramite raccomandata </w:t>
      </w:r>
      <w:proofErr w:type="spellStart"/>
      <w:r w:rsidRPr="00E34A0A">
        <w:rPr>
          <w:rFonts w:ascii="Times New Roman" w:eastAsia="Times New Roman" w:hAnsi="Times New Roman" w:cs="Times New Roman"/>
          <w:sz w:val="20"/>
          <w:szCs w:val="20"/>
        </w:rPr>
        <w:t>a.r.</w:t>
      </w:r>
      <w:proofErr w:type="spellEnd"/>
      <w:r w:rsidRPr="00E34A0A">
        <w:rPr>
          <w:rFonts w:ascii="Times New Roman" w:eastAsia="Times New Roman" w:hAnsi="Times New Roman" w:cs="Times New Roman"/>
          <w:sz w:val="20"/>
          <w:szCs w:val="20"/>
        </w:rPr>
        <w:t xml:space="preserve"> o in via informatica all’indirizzo e-mail [•], o PEC [•]. 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tratta il reclamo in modo sollecito e provvede a comunicare l’esito finale dello stesso e le sue determinazioni nel termine di 60 giorni.</w:t>
      </w:r>
    </w:p>
    <w:p w14:paraId="4DA8CC79" w14:textId="77777777" w:rsidR="00E34A0A" w:rsidRPr="00E34A0A" w:rsidRDefault="00E34A0A" w:rsidP="00E34A0A">
      <w:pPr>
        <w:keepNext/>
        <w:ind w:left="709" w:right="144" w:hanging="709"/>
        <w:jc w:val="both"/>
        <w:rPr>
          <w:rFonts w:ascii="Times New Roman" w:eastAsia="Times New Roman" w:hAnsi="Times New Roman" w:cs="Times New Roman"/>
          <w:sz w:val="20"/>
          <w:szCs w:val="20"/>
        </w:rPr>
      </w:pPr>
    </w:p>
    <w:p w14:paraId="5FB92EDF" w14:textId="10C45899" w:rsidR="00E34A0A" w:rsidRPr="00E34A0A" w:rsidRDefault="00E34A0A" w:rsidP="00E34A0A">
      <w:pPr>
        <w:keepNext/>
        <w:ind w:left="709" w:right="144" w:hanging="709"/>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18.2</w:t>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rPr>
        <w:t>Nel caso in cui il Cliente non sia sod</w:t>
      </w:r>
      <w:r w:rsidR="00FE0E31">
        <w:rPr>
          <w:rFonts w:ascii="Times New Roman" w:eastAsia="Times New Roman" w:hAnsi="Times New Roman" w:cs="Times New Roman"/>
          <w:sz w:val="20"/>
        </w:rPr>
        <w:t>d</w:t>
      </w:r>
      <w:r w:rsidRPr="00E34A0A">
        <w:rPr>
          <w:rFonts w:ascii="Times New Roman" w:eastAsia="Times New Roman" w:hAnsi="Times New Roman" w:cs="Times New Roman"/>
          <w:sz w:val="20"/>
        </w:rPr>
        <w:t>isfatto ovvero non abbia ricevuto riscontro entro i termini sopra indicati, prima di ricorrere all’Autorità Giudiziaria potrà rivolgersi all’Arbitro per le Controversie Finanziarie (ACF). L’ACF conosce delle controversie, fra investitori e intermediari, relative alla violazione da parte di quest’ultimi degli obblighi di diligenza, correttezza, informazione e trasparenza, che implicano la richiesta di somme di denaro per un importo sino a euro cinquecentomila (500.000) e</w:t>
      </w:r>
      <w:r w:rsidRPr="00E34A0A">
        <w:rPr>
          <w:rFonts w:ascii="Frutiger 45 Light" w:eastAsia="SimSun" w:hAnsi="Frutiger 45 Light" w:cs="Arial"/>
          <w:sz w:val="20"/>
          <w:szCs w:val="20"/>
          <w:lang w:eastAsia="zh-CN"/>
        </w:rPr>
        <w:t xml:space="preserve"> </w:t>
      </w:r>
      <w:r w:rsidRPr="00E34A0A">
        <w:rPr>
          <w:rFonts w:ascii="Times New Roman" w:eastAsia="Times New Roman" w:hAnsi="Times New Roman" w:cs="Times New Roman"/>
          <w:sz w:val="20"/>
        </w:rPr>
        <w:t xml:space="preserve">assolve la condizione di procedibilità di cui al d.lgs. 4 marzo 2010, n. 28. Il diritto di ricorrere all’ACF non può formare oggetto di rinuncia da parte dell’investitore ed è sempre esercitabile, anche in presenza di clausole di devoluzione delle controversie ad altri organismi di risoluzione extragiudiziale contenute nei contratti. Le informazioni riguardanti l’Arbitro sono disponibili sul sito </w:t>
      </w:r>
      <w:hyperlink r:id="rId8" w:history="1">
        <w:r w:rsidRPr="00E34A0A">
          <w:rPr>
            <w:rFonts w:ascii="Times New Roman" w:eastAsia="Times New Roman" w:hAnsi="Times New Roman" w:cs="Times New Roman"/>
            <w:color w:val="0000FF"/>
            <w:sz w:val="20"/>
            <w:u w:val="single"/>
          </w:rPr>
          <w:t>www.acf.consob.it</w:t>
        </w:r>
      </w:hyperlink>
      <w:r w:rsidRPr="00E34A0A">
        <w:rPr>
          <w:rFonts w:ascii="Times New Roman" w:eastAsia="Times New Roman" w:hAnsi="Times New Roman" w:cs="Times New Roman"/>
          <w:sz w:val="20"/>
        </w:rPr>
        <w:t xml:space="preserve">. In alternativa, prima di adire l’Autorità Giudiziaria ordinaria, il Cliente deve effettuare il tentativo di mediazione, previsto come obbligatorio e a pena di improcedibilità, presso qualsiasi organismo accreditato dal Ministero della giustizia e inserito nel registro degli organismi di mediazione di cui all’art. 16 del d.gs. 4 marzo 2010, n. 28.  </w:t>
      </w:r>
    </w:p>
    <w:p w14:paraId="5E4816F3" w14:textId="77777777" w:rsidR="00E34A0A" w:rsidRPr="00E34A0A" w:rsidRDefault="00E34A0A" w:rsidP="00E34A0A">
      <w:pPr>
        <w:keepNext/>
        <w:ind w:left="709" w:right="144" w:hanging="709"/>
        <w:jc w:val="both"/>
        <w:rPr>
          <w:rFonts w:ascii="Times New Roman" w:eastAsia="Times New Roman" w:hAnsi="Times New Roman" w:cs="Times New Roman"/>
          <w:sz w:val="20"/>
          <w:szCs w:val="20"/>
        </w:rPr>
      </w:pPr>
    </w:p>
    <w:p w14:paraId="0EA53E60" w14:textId="77777777" w:rsidR="00E34A0A" w:rsidRPr="00E34A0A" w:rsidRDefault="00E34A0A" w:rsidP="00E34A0A">
      <w:pPr>
        <w:ind w:left="705" w:right="141" w:hanging="705"/>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18.3</w:t>
      </w:r>
      <w:r w:rsidRPr="00E34A0A">
        <w:rPr>
          <w:rFonts w:ascii="Times New Roman" w:eastAsia="Times New Roman" w:hAnsi="Times New Roman" w:cs="Times New Roman"/>
          <w:sz w:val="20"/>
          <w:szCs w:val="20"/>
        </w:rPr>
        <w:tab/>
        <w:t>Fatto salvo quanto sopra e ferme restando le previsioni della vigente normativa per il caso in cui il Cliente rivesta la qualifica di consumatore ai sensi e per gli effetti dell’art. 33 del d.lgs. 6 settembre 2005, n. 206, il Foro competente per qualunque controversia che dovesse sorgere in relazione all’interpretazione e/o all’esecuzione del presente contratto è esclusivamente quello nella cui giurisdizione si trova la sede legale della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w:t>
      </w:r>
    </w:p>
    <w:p w14:paraId="74569109" w14:textId="77777777" w:rsidR="00E34A0A" w:rsidRPr="00E34A0A" w:rsidRDefault="00E34A0A" w:rsidP="00E34A0A">
      <w:pPr>
        <w:ind w:right="141"/>
        <w:jc w:val="both"/>
        <w:rPr>
          <w:rFonts w:ascii="Times New Roman" w:eastAsia="Times New Roman" w:hAnsi="Times New Roman" w:cs="Times New Roman"/>
          <w:sz w:val="20"/>
          <w:szCs w:val="20"/>
        </w:rPr>
      </w:pPr>
    </w:p>
    <w:p w14:paraId="3806EDE5" w14:textId="77777777" w:rsidR="00E34A0A" w:rsidRDefault="00E34A0A" w:rsidP="00E34A0A">
      <w:pPr>
        <w:ind w:right="141"/>
        <w:jc w:val="both"/>
        <w:rPr>
          <w:rFonts w:ascii="Times New Roman" w:eastAsia="Times New Roman" w:hAnsi="Times New Roman" w:cs="Times New Roman"/>
          <w:sz w:val="20"/>
        </w:rPr>
      </w:pPr>
    </w:p>
    <w:p w14:paraId="7CE14C1F" w14:textId="77777777" w:rsidR="00E34A0A" w:rsidRDefault="00E34A0A" w:rsidP="00E34A0A">
      <w:pPr>
        <w:ind w:right="141"/>
        <w:jc w:val="both"/>
        <w:rPr>
          <w:rFonts w:ascii="Times New Roman" w:eastAsia="Times New Roman" w:hAnsi="Times New Roman" w:cs="Times New Roman"/>
          <w:sz w:val="20"/>
        </w:rPr>
      </w:pPr>
    </w:p>
    <w:p w14:paraId="6A322A9C" w14:textId="77777777" w:rsidR="00E34A0A" w:rsidRPr="00E34A0A" w:rsidRDefault="00E34A0A" w:rsidP="00E34A0A">
      <w:pPr>
        <w:ind w:right="141"/>
        <w:jc w:val="both"/>
        <w:rPr>
          <w:rFonts w:ascii="Times New Roman" w:eastAsia="Times New Roman" w:hAnsi="Times New Roman" w:cs="Times New Roman"/>
          <w:sz w:val="20"/>
        </w:rPr>
      </w:pPr>
    </w:p>
    <w:p w14:paraId="21998B80" w14:textId="77777777" w:rsidR="00E34A0A" w:rsidRPr="00E34A0A" w:rsidRDefault="00E34A0A" w:rsidP="00E34A0A">
      <w:pPr>
        <w:ind w:right="141"/>
        <w:jc w:val="both"/>
        <w:rPr>
          <w:rFonts w:ascii="Times New Roman" w:eastAsia="Times New Roman" w:hAnsi="Times New Roman" w:cs="Times New Roman"/>
          <w:sz w:val="20"/>
        </w:rPr>
      </w:pPr>
    </w:p>
    <w:p w14:paraId="1A896566" w14:textId="77777777" w:rsidR="00E34A0A" w:rsidRDefault="00E34A0A" w:rsidP="00E34A0A">
      <w:pPr>
        <w:ind w:right="141"/>
        <w:jc w:val="both"/>
        <w:rPr>
          <w:rFonts w:ascii="Times New Roman" w:eastAsia="Times New Roman" w:hAnsi="Times New Roman" w:cs="Times New Roman"/>
          <w:sz w:val="20"/>
        </w:rPr>
      </w:pPr>
    </w:p>
    <w:p w14:paraId="2403C0DD" w14:textId="77777777" w:rsidR="00E34A0A" w:rsidRDefault="00E34A0A" w:rsidP="00E34A0A">
      <w:pPr>
        <w:ind w:right="141"/>
        <w:jc w:val="both"/>
        <w:rPr>
          <w:rFonts w:ascii="Times New Roman" w:eastAsia="Times New Roman" w:hAnsi="Times New Roman" w:cs="Times New Roman"/>
          <w:sz w:val="20"/>
        </w:rPr>
      </w:pPr>
    </w:p>
    <w:p w14:paraId="3F0AAAB6" w14:textId="77777777" w:rsidR="00E34A0A" w:rsidRDefault="00E34A0A" w:rsidP="00E34A0A">
      <w:pPr>
        <w:ind w:right="141"/>
        <w:jc w:val="both"/>
        <w:rPr>
          <w:rFonts w:ascii="Times New Roman" w:eastAsia="Times New Roman" w:hAnsi="Times New Roman" w:cs="Times New Roman"/>
          <w:sz w:val="20"/>
        </w:rPr>
      </w:pPr>
    </w:p>
    <w:p w14:paraId="1743EC73" w14:textId="77777777" w:rsidR="00E34A0A" w:rsidRPr="00E34A0A" w:rsidRDefault="00E34A0A" w:rsidP="00E34A0A">
      <w:pPr>
        <w:ind w:right="141"/>
        <w:jc w:val="both"/>
        <w:rPr>
          <w:rFonts w:ascii="Times New Roman" w:eastAsia="Times New Roman" w:hAnsi="Times New Roman" w:cs="Times New Roman"/>
          <w:sz w:val="20"/>
        </w:rPr>
      </w:pPr>
      <w:r w:rsidRPr="00E34A0A">
        <w:rPr>
          <w:rFonts w:ascii="Times New Roman" w:eastAsia="Times New Roman" w:hAnsi="Times New Roman" w:cs="Times New Roman"/>
          <w:sz w:val="20"/>
        </w:rPr>
        <w:t>[Luogo, data]</w:t>
      </w:r>
    </w:p>
    <w:p w14:paraId="23D2B392" w14:textId="77777777" w:rsidR="00E34A0A" w:rsidRPr="00E34A0A" w:rsidRDefault="00E34A0A" w:rsidP="00E34A0A">
      <w:pPr>
        <w:ind w:right="141"/>
        <w:jc w:val="both"/>
        <w:rPr>
          <w:rFonts w:ascii="Times New Roman" w:eastAsia="Times New Roman" w:hAnsi="Times New Roman" w:cs="Times New Roman"/>
          <w:sz w:val="20"/>
        </w:rPr>
      </w:pPr>
    </w:p>
    <w:p w14:paraId="653FBFEE" w14:textId="77777777" w:rsidR="00E34A0A" w:rsidRPr="00E34A0A" w:rsidRDefault="00E34A0A" w:rsidP="00E34A0A">
      <w:pPr>
        <w:ind w:right="141"/>
        <w:jc w:val="both"/>
        <w:rPr>
          <w:rFonts w:ascii="Times New Roman" w:eastAsia="Times New Roman" w:hAnsi="Times New Roman" w:cs="Times New Roman"/>
          <w:sz w:val="20"/>
        </w:rPr>
      </w:pPr>
      <w:r w:rsidRPr="00E34A0A">
        <w:rPr>
          <w:rFonts w:ascii="Times New Roman" w:eastAsia="Times New Roman" w:hAnsi="Times New Roman" w:cs="Times New Roman"/>
          <w:sz w:val="20"/>
        </w:rPr>
        <w:t>Il Cliente</w:t>
      </w:r>
    </w:p>
    <w:p w14:paraId="59B2E9C5" w14:textId="77777777" w:rsidR="00E34A0A" w:rsidRPr="00E34A0A" w:rsidRDefault="00E34A0A" w:rsidP="00E34A0A">
      <w:pPr>
        <w:ind w:right="141"/>
        <w:jc w:val="both"/>
        <w:rPr>
          <w:rFonts w:ascii="Times New Roman" w:eastAsia="Times New Roman" w:hAnsi="Times New Roman" w:cs="Times New Roman"/>
          <w:sz w:val="20"/>
        </w:rPr>
      </w:pPr>
    </w:p>
    <w:p w14:paraId="3FBF2261" w14:textId="77777777" w:rsidR="00E34A0A" w:rsidRPr="00E34A0A" w:rsidRDefault="00E34A0A" w:rsidP="00E34A0A">
      <w:pPr>
        <w:ind w:right="141"/>
        <w:jc w:val="both"/>
        <w:rPr>
          <w:rFonts w:ascii="Times New Roman" w:eastAsia="Times New Roman" w:hAnsi="Times New Roman" w:cs="Times New Roman"/>
          <w:sz w:val="20"/>
        </w:rPr>
      </w:pPr>
      <w:r w:rsidRPr="00E34A0A">
        <w:rPr>
          <w:rFonts w:ascii="Times New Roman" w:eastAsia="Times New Roman" w:hAnsi="Times New Roman" w:cs="Times New Roman"/>
          <w:sz w:val="20"/>
        </w:rPr>
        <w:t>_______________</w:t>
      </w:r>
      <w:r w:rsidRPr="00E34A0A">
        <w:rPr>
          <w:rFonts w:ascii="Times New Roman" w:eastAsia="Times New Roman" w:hAnsi="Times New Roman" w:cs="Times New Roman"/>
          <w:sz w:val="20"/>
        </w:rPr>
        <w:tab/>
      </w:r>
      <w:r w:rsidRPr="00E34A0A">
        <w:rPr>
          <w:rFonts w:ascii="Times New Roman" w:eastAsia="Times New Roman" w:hAnsi="Times New Roman" w:cs="Times New Roman"/>
          <w:sz w:val="20"/>
        </w:rPr>
        <w:tab/>
      </w:r>
      <w:r w:rsidRPr="00E34A0A">
        <w:rPr>
          <w:rFonts w:ascii="Times New Roman" w:eastAsia="Times New Roman" w:hAnsi="Times New Roman" w:cs="Times New Roman"/>
          <w:sz w:val="20"/>
        </w:rPr>
        <w:tab/>
      </w:r>
      <w:r w:rsidRPr="00E34A0A">
        <w:rPr>
          <w:rFonts w:ascii="Times New Roman" w:eastAsia="Times New Roman" w:hAnsi="Times New Roman" w:cs="Times New Roman"/>
          <w:sz w:val="20"/>
        </w:rPr>
        <w:tab/>
      </w:r>
      <w:r w:rsidRPr="00E34A0A">
        <w:rPr>
          <w:rFonts w:ascii="Times New Roman" w:eastAsia="Times New Roman" w:hAnsi="Times New Roman" w:cs="Times New Roman"/>
          <w:sz w:val="20"/>
        </w:rPr>
        <w:tab/>
      </w:r>
    </w:p>
    <w:p w14:paraId="2296A7BA" w14:textId="77777777" w:rsidR="00E34A0A" w:rsidRPr="00E34A0A" w:rsidRDefault="00E34A0A" w:rsidP="00E34A0A">
      <w:pPr>
        <w:ind w:right="141"/>
        <w:jc w:val="both"/>
        <w:rPr>
          <w:rFonts w:ascii="Times New Roman" w:eastAsia="Times New Roman" w:hAnsi="Times New Roman" w:cs="Times New Roman"/>
          <w:sz w:val="20"/>
        </w:rPr>
      </w:pPr>
      <w:r w:rsidRPr="00E34A0A">
        <w:rPr>
          <w:rFonts w:ascii="Times New Roman" w:eastAsia="Times New Roman" w:hAnsi="Times New Roman" w:cs="Times New Roman"/>
          <w:sz w:val="20"/>
        </w:rPr>
        <w:t>Nome:</w:t>
      </w:r>
    </w:p>
    <w:p w14:paraId="08AD3ECD" w14:textId="77777777" w:rsidR="00E34A0A" w:rsidRPr="00E34A0A" w:rsidRDefault="00E34A0A" w:rsidP="00E34A0A">
      <w:pPr>
        <w:ind w:right="141"/>
        <w:jc w:val="both"/>
        <w:rPr>
          <w:rFonts w:ascii="Times New Roman" w:eastAsia="Times New Roman" w:hAnsi="Times New Roman" w:cs="Times New Roman"/>
          <w:sz w:val="20"/>
        </w:rPr>
      </w:pPr>
    </w:p>
    <w:p w14:paraId="794EE2BC"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Ai sensi e per gli effetti degli artt. 1341 e 1342 c.c., il Cliente dichiara di aver attentamente esaminato tutte le clausole che precedono e di approvare specificamente le seguenti:</w:t>
      </w:r>
    </w:p>
    <w:p w14:paraId="625D4333" w14:textId="77777777" w:rsidR="00E34A0A" w:rsidRPr="00E34A0A" w:rsidRDefault="00E34A0A" w:rsidP="00E34A0A">
      <w:pPr>
        <w:ind w:right="141"/>
        <w:jc w:val="both"/>
        <w:rPr>
          <w:rFonts w:ascii="Times New Roman" w:eastAsia="Times New Roman" w:hAnsi="Times New Roman" w:cs="Times New Roman"/>
          <w:sz w:val="20"/>
          <w:szCs w:val="20"/>
        </w:rPr>
      </w:pPr>
    </w:p>
    <w:p w14:paraId="2EE7F3F0"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Art. 2</w:t>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t>(rischi delle operazioni)</w:t>
      </w:r>
    </w:p>
    <w:p w14:paraId="1386140F"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Artt. 5.6, 5.7, 10.3</w:t>
      </w:r>
      <w:r w:rsidRPr="00E34A0A">
        <w:rPr>
          <w:rFonts w:ascii="Times New Roman" w:eastAsia="Times New Roman" w:hAnsi="Times New Roman" w:cs="Times New Roman"/>
          <w:sz w:val="20"/>
          <w:szCs w:val="20"/>
        </w:rPr>
        <w:tab/>
        <w:t>(limitazione di responsabilità)</w:t>
      </w:r>
    </w:p>
    <w:p w14:paraId="19BC3D12" w14:textId="77777777" w:rsidR="00E34A0A" w:rsidRPr="00E34A0A" w:rsidRDefault="00E34A0A" w:rsidP="00E34A0A">
      <w:pPr>
        <w:ind w:left="2127" w:right="141" w:hanging="2127"/>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Art. 9</w:t>
      </w:r>
      <w:r w:rsidRPr="00E34A0A">
        <w:rPr>
          <w:rFonts w:ascii="Times New Roman" w:eastAsia="Times New Roman" w:hAnsi="Times New Roman" w:cs="Times New Roman"/>
          <w:sz w:val="20"/>
          <w:szCs w:val="20"/>
        </w:rPr>
        <w:tab/>
        <w:t>(</w:t>
      </w:r>
      <w:proofErr w:type="spellStart"/>
      <w:r w:rsidRPr="00E34A0A">
        <w:rPr>
          <w:rFonts w:ascii="Times New Roman" w:eastAsia="Times New Roman" w:hAnsi="Times New Roman" w:cs="Times New Roman"/>
          <w:sz w:val="20"/>
          <w:szCs w:val="20"/>
        </w:rPr>
        <w:t>cointestazione</w:t>
      </w:r>
      <w:proofErr w:type="spellEnd"/>
      <w:r w:rsidRPr="00E34A0A">
        <w:rPr>
          <w:rFonts w:ascii="Times New Roman" w:eastAsia="Times New Roman" w:hAnsi="Times New Roman" w:cs="Times New Roman"/>
          <w:sz w:val="20"/>
          <w:szCs w:val="20"/>
        </w:rPr>
        <w:t>)</w:t>
      </w:r>
    </w:p>
    <w:p w14:paraId="657FA92A"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Art. 13</w:t>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t>(durata del contratto, recesso e risoluzione)</w:t>
      </w:r>
    </w:p>
    <w:p w14:paraId="6D8990FD"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Art. 16</w:t>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t>(modifiche contrattuali)</w:t>
      </w:r>
    </w:p>
    <w:p w14:paraId="518C26DB"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Art. 18.3</w:t>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t>(foro competente)</w:t>
      </w:r>
    </w:p>
    <w:p w14:paraId="08BB7D99" w14:textId="77777777" w:rsidR="00E34A0A" w:rsidRPr="00E34A0A" w:rsidRDefault="00E34A0A" w:rsidP="00E34A0A">
      <w:pPr>
        <w:ind w:right="141"/>
        <w:jc w:val="both"/>
        <w:rPr>
          <w:rFonts w:ascii="Times New Roman" w:eastAsia="Times New Roman" w:hAnsi="Times New Roman" w:cs="Times New Roman"/>
          <w:sz w:val="20"/>
          <w:szCs w:val="20"/>
        </w:rPr>
      </w:pPr>
    </w:p>
    <w:p w14:paraId="1BCE087D" w14:textId="77777777" w:rsidR="00E34A0A" w:rsidRPr="00E34A0A" w:rsidRDefault="00E34A0A" w:rsidP="00E34A0A">
      <w:pPr>
        <w:ind w:right="141"/>
        <w:jc w:val="both"/>
        <w:rPr>
          <w:rFonts w:ascii="Times New Roman" w:eastAsia="Times New Roman" w:hAnsi="Times New Roman" w:cs="Times New Roman"/>
          <w:sz w:val="20"/>
          <w:szCs w:val="20"/>
        </w:rPr>
      </w:pPr>
    </w:p>
    <w:p w14:paraId="4A2855D6"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[Luogo, data]</w:t>
      </w:r>
    </w:p>
    <w:p w14:paraId="0871D5F3" w14:textId="77777777" w:rsidR="00E34A0A" w:rsidRPr="00E34A0A" w:rsidRDefault="00E34A0A" w:rsidP="00E34A0A">
      <w:pPr>
        <w:ind w:right="141"/>
        <w:jc w:val="both"/>
        <w:rPr>
          <w:rFonts w:ascii="Times New Roman" w:eastAsia="Times New Roman" w:hAnsi="Times New Roman" w:cs="Times New Roman"/>
          <w:sz w:val="20"/>
          <w:szCs w:val="20"/>
        </w:rPr>
      </w:pPr>
    </w:p>
    <w:p w14:paraId="122991A3"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Il Cliente</w:t>
      </w:r>
    </w:p>
    <w:p w14:paraId="5FC4E332" w14:textId="77777777" w:rsidR="00E34A0A" w:rsidRPr="00E34A0A" w:rsidRDefault="00E34A0A" w:rsidP="00E34A0A">
      <w:pPr>
        <w:ind w:right="141"/>
        <w:jc w:val="both"/>
        <w:rPr>
          <w:rFonts w:ascii="Times New Roman" w:eastAsia="Times New Roman" w:hAnsi="Times New Roman" w:cs="Times New Roman"/>
          <w:sz w:val="20"/>
          <w:szCs w:val="20"/>
        </w:rPr>
      </w:pPr>
    </w:p>
    <w:p w14:paraId="1F4CCBDC"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_______________</w:t>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ab/>
      </w:r>
    </w:p>
    <w:p w14:paraId="60357077" w14:textId="77777777" w:rsidR="00E34A0A" w:rsidRPr="00E34A0A" w:rsidRDefault="00E34A0A" w:rsidP="00E34A0A">
      <w:pPr>
        <w:ind w:right="141"/>
        <w:jc w:val="both"/>
        <w:rPr>
          <w:rFonts w:ascii="Times New Roman" w:eastAsia="Times New Roman" w:hAnsi="Times New Roman" w:cs="Times New Roman"/>
          <w:sz w:val="20"/>
          <w:szCs w:val="20"/>
        </w:rPr>
      </w:pPr>
      <w:r w:rsidRPr="00E34A0A">
        <w:rPr>
          <w:rFonts w:ascii="Times New Roman" w:eastAsia="Times New Roman" w:hAnsi="Times New Roman" w:cs="Times New Roman"/>
          <w:sz w:val="20"/>
          <w:szCs w:val="20"/>
        </w:rPr>
        <w:t>Nome:</w:t>
      </w:r>
    </w:p>
    <w:p w14:paraId="7D28723F" w14:textId="77777777" w:rsidR="00E34A0A" w:rsidRPr="00E34A0A" w:rsidRDefault="00E34A0A" w:rsidP="00E34A0A">
      <w:pPr>
        <w:ind w:right="141"/>
        <w:jc w:val="both"/>
        <w:rPr>
          <w:rFonts w:ascii="Times New Roman" w:eastAsia="Times New Roman" w:hAnsi="Times New Roman" w:cs="Times New Roman"/>
          <w:sz w:val="20"/>
          <w:szCs w:val="20"/>
        </w:rPr>
      </w:pPr>
    </w:p>
    <w:p w14:paraId="13B3E61B" w14:textId="77777777" w:rsidR="00675018" w:rsidRPr="00910E2F" w:rsidRDefault="00675018" w:rsidP="00460B02">
      <w:pPr>
        <w:pStyle w:val="Titolo3"/>
        <w:tabs>
          <w:tab w:val="left" w:pos="7655"/>
        </w:tabs>
        <w:spacing w:line="276" w:lineRule="auto"/>
        <w:rPr>
          <w:bCs/>
          <w:szCs w:val="24"/>
        </w:rPr>
      </w:pPr>
    </w:p>
    <w:sectPr w:rsidR="00675018" w:rsidRPr="00910E2F" w:rsidSect="00264711">
      <w:headerReference w:type="default" r:id="rId9"/>
      <w:footerReference w:type="default" r:id="rId10"/>
      <w:headerReference w:type="first" r:id="rId11"/>
      <w:footerReference w:type="first" r:id="rId12"/>
      <w:pgSz w:w="11906" w:h="16838"/>
      <w:pgMar w:top="1985"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0BF0" w14:textId="77777777" w:rsidR="00933BCD" w:rsidRDefault="00933BCD" w:rsidP="000F23BD">
      <w:r>
        <w:separator/>
      </w:r>
    </w:p>
  </w:endnote>
  <w:endnote w:type="continuationSeparator" w:id="0">
    <w:p w14:paraId="45705174" w14:textId="77777777" w:rsidR="00933BCD" w:rsidRDefault="00933BCD" w:rsidP="000F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Frutiger 45 Light">
    <w:altName w:val="Arial"/>
    <w:charset w:val="00"/>
    <w:family w:val="swiss"/>
    <w:pitch w:val="variable"/>
    <w:sig w:usb0="A00000AF" w:usb1="5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600304"/>
      <w:docPartObj>
        <w:docPartGallery w:val="Page Numbers (Bottom of Page)"/>
        <w:docPartUnique/>
      </w:docPartObj>
    </w:sdtPr>
    <w:sdtEndPr/>
    <w:sdtContent>
      <w:p w14:paraId="2D913D22" w14:textId="77777777" w:rsidR="000F23BD" w:rsidRDefault="000F23BD">
        <w:pPr>
          <w:pStyle w:val="Pidipagina"/>
          <w:jc w:val="right"/>
        </w:pPr>
        <w:r>
          <w:fldChar w:fldCharType="begin"/>
        </w:r>
        <w:r>
          <w:instrText>PAGE   \* MERGEFORMAT</w:instrText>
        </w:r>
        <w:r>
          <w:fldChar w:fldCharType="separate"/>
        </w:r>
        <w:r w:rsidR="00FE0E31">
          <w:rPr>
            <w:noProof/>
          </w:rPr>
          <w:t>10</w:t>
        </w:r>
        <w:r>
          <w:fldChar w:fldCharType="end"/>
        </w:r>
      </w:p>
    </w:sdtContent>
  </w:sdt>
  <w:p w14:paraId="37E30DDB" w14:textId="77777777" w:rsidR="000F23BD" w:rsidRDefault="000F23BD">
    <w:pPr>
      <w:pStyle w:val="Pidipagina"/>
      <w:rPr>
        <w:noProof/>
      </w:rPr>
    </w:pPr>
  </w:p>
  <w:p w14:paraId="1C974F7F" w14:textId="77777777" w:rsidR="000F23BD" w:rsidRDefault="000F23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57C2" w14:textId="77777777" w:rsidR="000F23BD" w:rsidRDefault="00330F2A" w:rsidP="000F23BD">
    <w:pPr>
      <w:pStyle w:val="Pidipagina"/>
      <w:jc w:val="right"/>
    </w:pPr>
    <w:r>
      <w:rPr>
        <w:noProof/>
      </w:rPr>
      <w:drawing>
        <wp:inline distT="0" distB="0" distL="0" distR="0" wp14:anchorId="3B79C9EA" wp14:editId="4A43F312">
          <wp:extent cx="6116320" cy="705485"/>
          <wp:effectExtent l="0" t="0" r="5080" b="5715"/>
          <wp:docPr id="6" name="Immagine 6" descr="Macintosh HD:Users:imac:Desktop:piedipagina asso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imac:Desktop:piedipagina assosim.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376" r="9506" b="-3263"/>
                  <a:stretch/>
                </pic:blipFill>
                <pic:spPr bwMode="auto">
                  <a:xfrm>
                    <a:off x="0" y="0"/>
                    <a:ext cx="6116320" cy="7054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BACB852" w14:textId="77777777" w:rsidR="000F23BD" w:rsidRDefault="000F23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D83EE" w14:textId="77777777" w:rsidR="00933BCD" w:rsidRDefault="00933BCD" w:rsidP="000F23BD">
      <w:r>
        <w:separator/>
      </w:r>
    </w:p>
  </w:footnote>
  <w:footnote w:type="continuationSeparator" w:id="0">
    <w:p w14:paraId="6C6CD7D1" w14:textId="77777777" w:rsidR="00933BCD" w:rsidRDefault="00933BCD" w:rsidP="000F23BD">
      <w:r>
        <w:continuationSeparator/>
      </w:r>
    </w:p>
  </w:footnote>
  <w:footnote w:id="1">
    <w:p w14:paraId="2BD0C3F2" w14:textId="77777777" w:rsidR="00E34A0A" w:rsidRDefault="00E34A0A" w:rsidP="00E34A0A">
      <w:pPr>
        <w:pStyle w:val="Testonotaapidipagina"/>
      </w:pPr>
      <w:r>
        <w:rPr>
          <w:rStyle w:val="Rimandonotaapidipagina"/>
        </w:rPr>
        <w:footnoteRef/>
      </w:r>
      <w:r>
        <w:t xml:space="preserve"> </w:t>
      </w:r>
      <w:r w:rsidRPr="00E34A0A">
        <w:rPr>
          <w:rFonts w:ascii="Times New Roman" w:hAnsi="Times New Roman"/>
          <w:sz w:val="16"/>
          <w:szCs w:val="16"/>
        </w:rPr>
        <w:t>Si presuppone la conclusione del contratto mediante scambio di proposta e accettazione, che comporta che l’intermediario accetti (per iscritto) la proposta del cliente e gliela invii o consegni. Il contratto si considera concluso, in tale eventualità, quando il cliente ha notizia dell’accettazione della [</w:t>
      </w:r>
      <w:r w:rsidRPr="00E34A0A">
        <w:rPr>
          <w:rFonts w:ascii="Times New Roman" w:hAnsi="Times New Roman"/>
          <w:i/>
          <w:sz w:val="16"/>
          <w:szCs w:val="16"/>
        </w:rPr>
        <w:t>Banca / SIM</w:t>
      </w:r>
      <w:r w:rsidRPr="00E34A0A">
        <w:rPr>
          <w:rFonts w:ascii="Times New Roman" w:hAnsi="Times New Roman"/>
          <w:sz w:val="16"/>
          <w:szCs w:val="16"/>
        </w:rPr>
        <w:t>]. È ovviamente possibile, in sede di personalizzazione del contratto, prevedere altre modalità di conclusione, nel rispetto dell’art. 23 del d.lgs. 24 febbraio 1998, n. 58.</w:t>
      </w:r>
    </w:p>
  </w:footnote>
  <w:footnote w:id="2">
    <w:p w14:paraId="02F9DC8E" w14:textId="77777777" w:rsidR="00E34A0A" w:rsidRDefault="00E34A0A" w:rsidP="00E34A0A">
      <w:pPr>
        <w:pStyle w:val="Testonotaapidipagina"/>
        <w:jc w:val="both"/>
      </w:pPr>
      <w:r w:rsidRPr="00964566">
        <w:rPr>
          <w:rStyle w:val="Rimandonotaapidipagina"/>
        </w:rPr>
        <w:t>2</w:t>
      </w:r>
      <w:r w:rsidRPr="00526674">
        <w:rPr>
          <w:sz w:val="16"/>
          <w:szCs w:val="16"/>
        </w:rPr>
        <w:t xml:space="preserve"> </w:t>
      </w:r>
      <w:r w:rsidRPr="00E34A0A">
        <w:rPr>
          <w:rFonts w:ascii="Times New Roman" w:hAnsi="Times New Roman"/>
          <w:sz w:val="16"/>
          <w:szCs w:val="16"/>
        </w:rPr>
        <w:t xml:space="preserve">La modalità di trasmissione delle informazioni precontrattuali </w:t>
      </w:r>
      <w:proofErr w:type="gramStart"/>
      <w:r w:rsidRPr="00E34A0A">
        <w:rPr>
          <w:rFonts w:ascii="Times New Roman" w:hAnsi="Times New Roman"/>
          <w:sz w:val="16"/>
          <w:szCs w:val="16"/>
        </w:rPr>
        <w:t>non devono essere disciplinate</w:t>
      </w:r>
      <w:proofErr w:type="gramEnd"/>
      <w:r w:rsidRPr="00E34A0A">
        <w:rPr>
          <w:rFonts w:ascii="Times New Roman" w:hAnsi="Times New Roman"/>
          <w:sz w:val="16"/>
          <w:szCs w:val="16"/>
        </w:rPr>
        <w:t xml:space="preserve"> nel contratto (che logicamente è successivo). Sarebbe opportuno prevederle, invece, in un modulo a parte nel quale il cliente, in sede precontrattuale, esprime la propria preferenza circa le modalità di trasmissione di tali informazioni e dà atto di averle ricevute.</w:t>
      </w:r>
    </w:p>
  </w:footnote>
  <w:footnote w:id="3">
    <w:p w14:paraId="468EEB8F" w14:textId="77777777" w:rsidR="00E34A0A" w:rsidRPr="007D6970" w:rsidRDefault="00E34A0A" w:rsidP="00E34A0A">
      <w:pPr>
        <w:pStyle w:val="Testonotaapidipagina"/>
        <w:jc w:val="both"/>
        <w:rPr>
          <w:sz w:val="16"/>
          <w:szCs w:val="16"/>
        </w:rPr>
      </w:pPr>
      <w:r>
        <w:rPr>
          <w:rStyle w:val="Rimandonotaapidipagina"/>
        </w:rPr>
        <w:t>3</w:t>
      </w:r>
      <w:r>
        <w:t xml:space="preserve"> </w:t>
      </w:r>
      <w:r w:rsidRPr="00E34A0A">
        <w:rPr>
          <w:rFonts w:ascii="Times New Roman" w:hAnsi="Times New Roman"/>
          <w:sz w:val="16"/>
          <w:szCs w:val="16"/>
        </w:rPr>
        <w:t>Quando a uno stesso Cliente è offerta o fornita consulenza su base sia indipendente che non indipendente, la [</w:t>
      </w:r>
      <w:r w:rsidRPr="00E34A0A">
        <w:rPr>
          <w:rFonts w:ascii="Times New Roman" w:hAnsi="Times New Roman"/>
          <w:i/>
          <w:sz w:val="16"/>
          <w:szCs w:val="16"/>
        </w:rPr>
        <w:t>Banca / SIM</w:t>
      </w:r>
      <w:r w:rsidRPr="00E34A0A">
        <w:rPr>
          <w:rFonts w:ascii="Times New Roman" w:hAnsi="Times New Roman"/>
          <w:sz w:val="16"/>
          <w:szCs w:val="16"/>
        </w:rPr>
        <w:t>] spiega l’ambito di entrambi i servizi per consentire agli investitori di comprendere le differenze tra l’uno e l’altro. In tale ipotesi, la [</w:t>
      </w:r>
      <w:r w:rsidRPr="00E34A0A">
        <w:rPr>
          <w:rFonts w:ascii="Times New Roman" w:hAnsi="Times New Roman"/>
          <w:i/>
          <w:sz w:val="16"/>
          <w:szCs w:val="16"/>
        </w:rPr>
        <w:t>Banca / SIM</w:t>
      </w:r>
      <w:r w:rsidRPr="00E34A0A">
        <w:rPr>
          <w:rFonts w:ascii="Times New Roman" w:hAnsi="Times New Roman"/>
          <w:sz w:val="16"/>
          <w:szCs w:val="16"/>
        </w:rPr>
        <w:t>] non si presenta al Cliente come consulente in materia di investimenti indipendente per l’attività complessiva. Nelle comunicazioni con i Clienti, le imprese non danno risalto in modo indebito ai loro servizi di consulenza in materia di investimenti indipendentemente rispetto ai servizi di investimento forniti su base non indipendente.</w:t>
      </w:r>
    </w:p>
  </w:footnote>
  <w:footnote w:id="4">
    <w:p w14:paraId="73EF9AB9" w14:textId="77777777" w:rsidR="00E34A0A" w:rsidRDefault="00E34A0A" w:rsidP="00E34A0A">
      <w:pPr>
        <w:pStyle w:val="Testonotaapidipagina"/>
      </w:pPr>
      <w:r>
        <w:rPr>
          <w:rStyle w:val="Rimandonotaapidipagina"/>
        </w:rPr>
        <w:t>4</w:t>
      </w:r>
      <w:r>
        <w:t xml:space="preserve"> </w:t>
      </w:r>
      <w:r w:rsidRPr="00E34A0A">
        <w:rPr>
          <w:rFonts w:ascii="Times New Roman" w:hAnsi="Times New Roman"/>
          <w:sz w:val="16"/>
          <w:szCs w:val="16"/>
        </w:rPr>
        <w:t>Nelle singole raccomandazioni, dovrà essere precisata la “scadenza” del consiglio fornito.</w:t>
      </w:r>
    </w:p>
  </w:footnote>
  <w:footnote w:id="5">
    <w:p w14:paraId="4A0FB0E1" w14:textId="77777777" w:rsidR="00E34A0A" w:rsidRPr="00E34A0A" w:rsidRDefault="00E34A0A" w:rsidP="00E34A0A">
      <w:pPr>
        <w:pStyle w:val="Testonotaapidipagina"/>
        <w:jc w:val="both"/>
        <w:rPr>
          <w:rFonts w:ascii="Times New Roman" w:hAnsi="Times New Roman"/>
          <w:sz w:val="16"/>
          <w:szCs w:val="16"/>
        </w:rPr>
      </w:pPr>
      <w:r>
        <w:rPr>
          <w:rStyle w:val="Rimandonotaapidipagina"/>
        </w:rPr>
        <w:t>5</w:t>
      </w:r>
      <w:r>
        <w:t xml:space="preserve"> </w:t>
      </w:r>
      <w:r w:rsidRPr="00E34A0A">
        <w:rPr>
          <w:rFonts w:ascii="Times New Roman" w:hAnsi="Times New Roman"/>
          <w:sz w:val="16"/>
          <w:szCs w:val="16"/>
        </w:rPr>
        <w:t>Tali indicazioni sono necessarie solo ove la [Banca / SIM] presti un servizio di consulenza in materia di investimenti di natura indipendente. In tale ipotesi, inoltre, qualora la [Banca / SIM] offra sia prodotti finanziari di propria emissione (o comunque emessi o forniti da entità che hanno con essa stretti legami o rapporti di natura giuridica o economica), sia prodotti finanziari emessi o forniti da soggetti terzi che non intrattengano con essa tali legami o rapporti, la [Banca / SIM] tiene distinta, per ciascun tipo di strumento finanziario, la gamma degli strumenti emessi o forniti da entità che non hanno alcun legame con essa.</w:t>
      </w:r>
    </w:p>
  </w:footnote>
  <w:footnote w:id="6">
    <w:p w14:paraId="7019D955" w14:textId="77777777" w:rsidR="00E34A0A" w:rsidRPr="00E34A0A" w:rsidRDefault="00E34A0A" w:rsidP="00E34A0A">
      <w:pPr>
        <w:pStyle w:val="Testonotaapidipagina"/>
        <w:rPr>
          <w:rFonts w:ascii="Times New Roman" w:hAnsi="Times New Roman"/>
          <w:sz w:val="16"/>
          <w:szCs w:val="16"/>
        </w:rPr>
      </w:pPr>
      <w:r>
        <w:rPr>
          <w:rStyle w:val="Rimandonotaapidipagina"/>
        </w:rPr>
        <w:t>7</w:t>
      </w:r>
      <w:r>
        <w:t xml:space="preserve"> </w:t>
      </w:r>
      <w:r w:rsidRPr="00E34A0A">
        <w:rPr>
          <w:rFonts w:ascii="Times New Roman" w:hAnsi="Times New Roman"/>
          <w:sz w:val="16"/>
          <w:szCs w:val="16"/>
        </w:rPr>
        <w:t>Da inserire solo nel caso in cui la [Banca / SIM] presti un servizio di consulenza di natura indipendente.</w:t>
      </w:r>
    </w:p>
  </w:footnote>
  <w:footnote w:id="7">
    <w:p w14:paraId="2AB37B74" w14:textId="77777777" w:rsidR="00E34A0A" w:rsidRDefault="00E34A0A" w:rsidP="00E34A0A">
      <w:pPr>
        <w:pStyle w:val="Testonotaapidipagina"/>
        <w:jc w:val="both"/>
      </w:pPr>
      <w:r w:rsidRPr="00E34A0A">
        <w:rPr>
          <w:rStyle w:val="Rimandonotaapidipagina"/>
          <w:rFonts w:ascii="Times New Roman" w:hAnsi="Times New Roman"/>
          <w:sz w:val="16"/>
          <w:szCs w:val="16"/>
        </w:rPr>
        <w:t>8</w:t>
      </w:r>
      <w:r w:rsidRPr="00E34A0A">
        <w:rPr>
          <w:rFonts w:ascii="Times New Roman" w:hAnsi="Times New Roman"/>
          <w:sz w:val="16"/>
          <w:szCs w:val="16"/>
        </w:rPr>
        <w:t xml:space="preserve"> Da inserire solo nel caso in cui la [Banca / SIM] presti un servizio di consulenza di natura non indipendente.</w:t>
      </w:r>
    </w:p>
  </w:footnote>
  <w:footnote w:id="8">
    <w:p w14:paraId="4293E86F" w14:textId="6C36C607" w:rsidR="00E34A0A" w:rsidRPr="008D697A" w:rsidRDefault="00E34A0A" w:rsidP="00E34A0A">
      <w:pPr>
        <w:pStyle w:val="Testonotaapidipagina"/>
        <w:ind w:right="142"/>
        <w:jc w:val="both"/>
        <w:rPr>
          <w:sz w:val="16"/>
          <w:szCs w:val="16"/>
        </w:rPr>
      </w:pPr>
      <w:r>
        <w:rPr>
          <w:rStyle w:val="Rimandonotaapidipagina"/>
        </w:rPr>
        <w:t>9</w:t>
      </w:r>
      <w:r>
        <w:t xml:space="preserve"> </w:t>
      </w:r>
      <w:r w:rsidRPr="00E34A0A">
        <w:rPr>
          <w:rFonts w:ascii="Times New Roman" w:hAnsi="Times New Roman"/>
          <w:sz w:val="16"/>
          <w:szCs w:val="16"/>
        </w:rPr>
        <w:t>Per ulteriori opzioni, ugualmente consentite a livello regolamentare, si veda</w:t>
      </w:r>
      <w:r w:rsidR="00656A93">
        <w:rPr>
          <w:rFonts w:ascii="Times New Roman" w:hAnsi="Times New Roman"/>
          <w:sz w:val="16"/>
          <w:szCs w:val="16"/>
        </w:rPr>
        <w:t xml:space="preserve">no gli Orientamenti ESMA su alcuni aspetti dei requisiti di </w:t>
      </w:r>
      <w:proofErr w:type="gramStart"/>
      <w:r w:rsidR="00656A93">
        <w:rPr>
          <w:rFonts w:ascii="Times New Roman" w:hAnsi="Times New Roman"/>
          <w:sz w:val="16"/>
          <w:szCs w:val="16"/>
        </w:rPr>
        <w:t>adeguatezza.</w:t>
      </w:r>
      <w:r w:rsidRPr="00E34A0A">
        <w:rPr>
          <w:rFonts w:ascii="Times New Roman" w:hAnsi="Times New Roman"/>
          <w:sz w:val="16"/>
          <w:szCs w:val="16"/>
        </w:rPr>
        <w:t>.</w:t>
      </w:r>
      <w:proofErr w:type="gramEnd"/>
    </w:p>
  </w:footnote>
  <w:footnote w:id="9">
    <w:p w14:paraId="3F48B541" w14:textId="77777777" w:rsidR="00E34A0A" w:rsidRDefault="00E34A0A" w:rsidP="00E34A0A">
      <w:pPr>
        <w:pStyle w:val="Testonotaapidipagina"/>
        <w:jc w:val="both"/>
      </w:pPr>
      <w:r>
        <w:rPr>
          <w:rStyle w:val="Rimandonotaapidipagina"/>
        </w:rPr>
        <w:t>11</w:t>
      </w:r>
      <w:r>
        <w:t xml:space="preserve"> </w:t>
      </w:r>
      <w:r w:rsidRPr="00E34A0A">
        <w:rPr>
          <w:rFonts w:ascii="Times New Roman" w:hAnsi="Times New Roman"/>
          <w:sz w:val="16"/>
          <w:szCs w:val="16"/>
        </w:rPr>
        <w:t>La [Banca / SIM] sceglie discrezionalmente se fornire la valutazione periodica di adeguatezza dei prodotti finanziari raccomandati.</w:t>
      </w:r>
    </w:p>
    <w:p w14:paraId="635E4AAA" w14:textId="77777777" w:rsidR="00E34A0A" w:rsidRDefault="00E34A0A" w:rsidP="00E34A0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E41C" w14:textId="77777777" w:rsidR="000F23BD" w:rsidRDefault="000F23BD" w:rsidP="000F23BD">
    <w:pPr>
      <w:pStyle w:val="Intestazione"/>
      <w:jc w:val="center"/>
    </w:pPr>
    <w:r>
      <w:rPr>
        <w:noProof/>
      </w:rPr>
      <w:drawing>
        <wp:inline distT="0" distB="0" distL="0" distR="0" wp14:anchorId="594176AE" wp14:editId="3F72E25A">
          <wp:extent cx="3478912" cy="639104"/>
          <wp:effectExtent l="0" t="0" r="1270" b="0"/>
          <wp:docPr id="1" name="Immagine 1"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4777" w14:textId="77777777" w:rsidR="000F23BD" w:rsidRDefault="000F23BD" w:rsidP="000F23BD">
    <w:pPr>
      <w:pStyle w:val="Intestazione"/>
      <w:jc w:val="center"/>
    </w:pPr>
    <w:r>
      <w:rPr>
        <w:noProof/>
      </w:rPr>
      <w:drawing>
        <wp:inline distT="0" distB="0" distL="0" distR="0" wp14:anchorId="35627B2D" wp14:editId="1E1C3714">
          <wp:extent cx="3478912" cy="639104"/>
          <wp:effectExtent l="0" t="0" r="1270" b="0"/>
          <wp:docPr id="5" name="Immagine 5"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FAA"/>
    <w:multiLevelType w:val="hybridMultilevel"/>
    <w:tmpl w:val="C32CF6D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6F5988"/>
    <w:multiLevelType w:val="hybridMultilevel"/>
    <w:tmpl w:val="46300DC8"/>
    <w:lvl w:ilvl="0" w:tplc="2606FF2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915408"/>
    <w:multiLevelType w:val="singleLevel"/>
    <w:tmpl w:val="00307016"/>
    <w:lvl w:ilvl="0">
      <w:start w:val="1"/>
      <w:numFmt w:val="lowerLetter"/>
      <w:lvlText w:val="%1)"/>
      <w:lvlJc w:val="left"/>
      <w:pPr>
        <w:tabs>
          <w:tab w:val="num" w:pos="705"/>
        </w:tabs>
        <w:ind w:left="705" w:hanging="705"/>
      </w:pPr>
      <w:rPr>
        <w:rFonts w:hint="default"/>
      </w:rPr>
    </w:lvl>
  </w:abstractNum>
  <w:abstractNum w:abstractNumId="3" w15:restartNumberingAfterBreak="0">
    <w:nsid w:val="20993992"/>
    <w:multiLevelType w:val="hybridMultilevel"/>
    <w:tmpl w:val="04EE66C0"/>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7">
      <w:start w:val="1"/>
      <w:numFmt w:val="bullet"/>
      <w:lvlText w:val=""/>
      <w:lvlJc w:val="left"/>
      <w:pPr>
        <w:tabs>
          <w:tab w:val="num" w:pos="2509"/>
        </w:tabs>
        <w:ind w:left="2509" w:hanging="360"/>
      </w:pPr>
      <w:rPr>
        <w:rFonts w:ascii="Wingdings" w:hAnsi="Wingdings" w:hint="default"/>
        <w:sz w:val="16"/>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F2AEF"/>
    <w:multiLevelType w:val="hybridMultilevel"/>
    <w:tmpl w:val="92A2E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7C2150"/>
    <w:multiLevelType w:val="hybridMultilevel"/>
    <w:tmpl w:val="7D2C730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2CA61540"/>
    <w:multiLevelType w:val="hybridMultilevel"/>
    <w:tmpl w:val="F39AEE2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317E5A8C"/>
    <w:multiLevelType w:val="hybridMultilevel"/>
    <w:tmpl w:val="00FE562E"/>
    <w:lvl w:ilvl="0" w:tplc="0410000B">
      <w:start w:val="1"/>
      <w:numFmt w:val="bullet"/>
      <w:lvlText w:val=""/>
      <w:lvlJc w:val="left"/>
      <w:rPr>
        <w:rFonts w:ascii="Wingdings" w:hAnsi="Wingdings" w:hint="default"/>
      </w:rPr>
    </w:lvl>
    <w:lvl w:ilvl="1" w:tplc="0410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6D2E71"/>
    <w:multiLevelType w:val="hybridMultilevel"/>
    <w:tmpl w:val="D9A418D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2C7178"/>
    <w:multiLevelType w:val="hybridMultilevel"/>
    <w:tmpl w:val="8F065B1E"/>
    <w:lvl w:ilvl="0" w:tplc="0AFA94D0">
      <w:start w:val="5"/>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670439"/>
    <w:multiLevelType w:val="hybridMultilevel"/>
    <w:tmpl w:val="70783D4A"/>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4A7478E6"/>
    <w:multiLevelType w:val="hybridMultilevel"/>
    <w:tmpl w:val="EBDAC1B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7">
      <w:start w:val="1"/>
      <w:numFmt w:val="bullet"/>
      <w:lvlText w:val=""/>
      <w:lvlJc w:val="left"/>
      <w:pPr>
        <w:tabs>
          <w:tab w:val="num" w:pos="2509"/>
        </w:tabs>
        <w:ind w:left="2509" w:hanging="360"/>
      </w:pPr>
      <w:rPr>
        <w:rFonts w:ascii="Wingdings" w:hAnsi="Wingdings" w:hint="default"/>
        <w:sz w:val="16"/>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D2BAE5"/>
    <w:multiLevelType w:val="hybridMultilevel"/>
    <w:tmpl w:val="33580330"/>
    <w:lvl w:ilvl="0" w:tplc="FFFFFFFF">
      <w:start w:val="1"/>
      <w:numFmt w:val="bullet"/>
      <w:lvlText w:val="•"/>
      <w:lvlJc w:val="left"/>
    </w:lvl>
    <w:lvl w:ilvl="1" w:tplc="0410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FE844D5"/>
    <w:multiLevelType w:val="hybridMultilevel"/>
    <w:tmpl w:val="B394E0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920CA1"/>
    <w:multiLevelType w:val="hybridMultilevel"/>
    <w:tmpl w:val="62A014DC"/>
    <w:lvl w:ilvl="0" w:tplc="0410000B">
      <w:start w:val="1"/>
      <w:numFmt w:val="bullet"/>
      <w:lvlText w:val=""/>
      <w:lvlJc w:val="left"/>
      <w:pPr>
        <w:ind w:left="1120" w:hanging="360"/>
      </w:pPr>
      <w:rPr>
        <w:rFonts w:ascii="Wingdings" w:hAnsi="Wingdings" w:hint="default"/>
      </w:rPr>
    </w:lvl>
    <w:lvl w:ilvl="1" w:tplc="04100003" w:tentative="1">
      <w:start w:val="1"/>
      <w:numFmt w:val="bullet"/>
      <w:lvlText w:val="o"/>
      <w:lvlJc w:val="left"/>
      <w:pPr>
        <w:ind w:left="1840" w:hanging="360"/>
      </w:pPr>
      <w:rPr>
        <w:rFonts w:ascii="Courier New" w:hAnsi="Courier New" w:cs="Courier New" w:hint="default"/>
      </w:rPr>
    </w:lvl>
    <w:lvl w:ilvl="2" w:tplc="04100005" w:tentative="1">
      <w:start w:val="1"/>
      <w:numFmt w:val="bullet"/>
      <w:lvlText w:val=""/>
      <w:lvlJc w:val="left"/>
      <w:pPr>
        <w:ind w:left="2560" w:hanging="360"/>
      </w:pPr>
      <w:rPr>
        <w:rFonts w:ascii="Wingdings" w:hAnsi="Wingdings" w:hint="default"/>
      </w:rPr>
    </w:lvl>
    <w:lvl w:ilvl="3" w:tplc="04100001" w:tentative="1">
      <w:start w:val="1"/>
      <w:numFmt w:val="bullet"/>
      <w:lvlText w:val=""/>
      <w:lvlJc w:val="left"/>
      <w:pPr>
        <w:ind w:left="3280" w:hanging="360"/>
      </w:pPr>
      <w:rPr>
        <w:rFonts w:ascii="Symbol" w:hAnsi="Symbol" w:hint="default"/>
      </w:rPr>
    </w:lvl>
    <w:lvl w:ilvl="4" w:tplc="04100003" w:tentative="1">
      <w:start w:val="1"/>
      <w:numFmt w:val="bullet"/>
      <w:lvlText w:val="o"/>
      <w:lvlJc w:val="left"/>
      <w:pPr>
        <w:ind w:left="4000" w:hanging="360"/>
      </w:pPr>
      <w:rPr>
        <w:rFonts w:ascii="Courier New" w:hAnsi="Courier New" w:cs="Courier New" w:hint="default"/>
      </w:rPr>
    </w:lvl>
    <w:lvl w:ilvl="5" w:tplc="04100005" w:tentative="1">
      <w:start w:val="1"/>
      <w:numFmt w:val="bullet"/>
      <w:lvlText w:val=""/>
      <w:lvlJc w:val="left"/>
      <w:pPr>
        <w:ind w:left="4720" w:hanging="360"/>
      </w:pPr>
      <w:rPr>
        <w:rFonts w:ascii="Wingdings" w:hAnsi="Wingdings" w:hint="default"/>
      </w:rPr>
    </w:lvl>
    <w:lvl w:ilvl="6" w:tplc="04100001" w:tentative="1">
      <w:start w:val="1"/>
      <w:numFmt w:val="bullet"/>
      <w:lvlText w:val=""/>
      <w:lvlJc w:val="left"/>
      <w:pPr>
        <w:ind w:left="5440" w:hanging="360"/>
      </w:pPr>
      <w:rPr>
        <w:rFonts w:ascii="Symbol" w:hAnsi="Symbol" w:hint="default"/>
      </w:rPr>
    </w:lvl>
    <w:lvl w:ilvl="7" w:tplc="04100003" w:tentative="1">
      <w:start w:val="1"/>
      <w:numFmt w:val="bullet"/>
      <w:lvlText w:val="o"/>
      <w:lvlJc w:val="left"/>
      <w:pPr>
        <w:ind w:left="6160" w:hanging="360"/>
      </w:pPr>
      <w:rPr>
        <w:rFonts w:ascii="Courier New" w:hAnsi="Courier New" w:cs="Courier New" w:hint="default"/>
      </w:rPr>
    </w:lvl>
    <w:lvl w:ilvl="8" w:tplc="04100005" w:tentative="1">
      <w:start w:val="1"/>
      <w:numFmt w:val="bullet"/>
      <w:lvlText w:val=""/>
      <w:lvlJc w:val="left"/>
      <w:pPr>
        <w:ind w:left="6880" w:hanging="360"/>
      </w:pPr>
      <w:rPr>
        <w:rFonts w:ascii="Wingdings" w:hAnsi="Wingdings" w:hint="default"/>
      </w:rPr>
    </w:lvl>
  </w:abstractNum>
  <w:abstractNum w:abstractNumId="15" w15:restartNumberingAfterBreak="0">
    <w:nsid w:val="5A0D65BF"/>
    <w:multiLevelType w:val="multilevel"/>
    <w:tmpl w:val="55D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A63F59"/>
    <w:multiLevelType w:val="multilevel"/>
    <w:tmpl w:val="D010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9B0A14"/>
    <w:multiLevelType w:val="hybridMultilevel"/>
    <w:tmpl w:val="82D48B4E"/>
    <w:lvl w:ilvl="0" w:tplc="0C8EFDB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211CB"/>
    <w:multiLevelType w:val="hybridMultilevel"/>
    <w:tmpl w:val="CB54D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73E13DC"/>
    <w:multiLevelType w:val="hybridMultilevel"/>
    <w:tmpl w:val="0CDCC616"/>
    <w:lvl w:ilvl="0" w:tplc="0410000B">
      <w:start w:val="1"/>
      <w:numFmt w:val="bullet"/>
      <w:lvlText w:val=""/>
      <w:lvlJc w:val="left"/>
      <w:pPr>
        <w:ind w:left="1120" w:hanging="360"/>
      </w:pPr>
      <w:rPr>
        <w:rFonts w:ascii="Wingdings" w:hAnsi="Wingdings" w:hint="default"/>
      </w:rPr>
    </w:lvl>
    <w:lvl w:ilvl="1" w:tplc="04100003" w:tentative="1">
      <w:start w:val="1"/>
      <w:numFmt w:val="bullet"/>
      <w:lvlText w:val="o"/>
      <w:lvlJc w:val="left"/>
      <w:pPr>
        <w:ind w:left="1840" w:hanging="360"/>
      </w:pPr>
      <w:rPr>
        <w:rFonts w:ascii="Courier New" w:hAnsi="Courier New" w:cs="Courier New" w:hint="default"/>
      </w:rPr>
    </w:lvl>
    <w:lvl w:ilvl="2" w:tplc="04100005" w:tentative="1">
      <w:start w:val="1"/>
      <w:numFmt w:val="bullet"/>
      <w:lvlText w:val=""/>
      <w:lvlJc w:val="left"/>
      <w:pPr>
        <w:ind w:left="2560" w:hanging="360"/>
      </w:pPr>
      <w:rPr>
        <w:rFonts w:ascii="Wingdings" w:hAnsi="Wingdings" w:hint="default"/>
      </w:rPr>
    </w:lvl>
    <w:lvl w:ilvl="3" w:tplc="04100001" w:tentative="1">
      <w:start w:val="1"/>
      <w:numFmt w:val="bullet"/>
      <w:lvlText w:val=""/>
      <w:lvlJc w:val="left"/>
      <w:pPr>
        <w:ind w:left="3280" w:hanging="360"/>
      </w:pPr>
      <w:rPr>
        <w:rFonts w:ascii="Symbol" w:hAnsi="Symbol" w:hint="default"/>
      </w:rPr>
    </w:lvl>
    <w:lvl w:ilvl="4" w:tplc="04100003" w:tentative="1">
      <w:start w:val="1"/>
      <w:numFmt w:val="bullet"/>
      <w:lvlText w:val="o"/>
      <w:lvlJc w:val="left"/>
      <w:pPr>
        <w:ind w:left="4000" w:hanging="360"/>
      </w:pPr>
      <w:rPr>
        <w:rFonts w:ascii="Courier New" w:hAnsi="Courier New" w:cs="Courier New" w:hint="default"/>
      </w:rPr>
    </w:lvl>
    <w:lvl w:ilvl="5" w:tplc="04100005" w:tentative="1">
      <w:start w:val="1"/>
      <w:numFmt w:val="bullet"/>
      <w:lvlText w:val=""/>
      <w:lvlJc w:val="left"/>
      <w:pPr>
        <w:ind w:left="4720" w:hanging="360"/>
      </w:pPr>
      <w:rPr>
        <w:rFonts w:ascii="Wingdings" w:hAnsi="Wingdings" w:hint="default"/>
      </w:rPr>
    </w:lvl>
    <w:lvl w:ilvl="6" w:tplc="04100001" w:tentative="1">
      <w:start w:val="1"/>
      <w:numFmt w:val="bullet"/>
      <w:lvlText w:val=""/>
      <w:lvlJc w:val="left"/>
      <w:pPr>
        <w:ind w:left="5440" w:hanging="360"/>
      </w:pPr>
      <w:rPr>
        <w:rFonts w:ascii="Symbol" w:hAnsi="Symbol" w:hint="default"/>
      </w:rPr>
    </w:lvl>
    <w:lvl w:ilvl="7" w:tplc="04100003" w:tentative="1">
      <w:start w:val="1"/>
      <w:numFmt w:val="bullet"/>
      <w:lvlText w:val="o"/>
      <w:lvlJc w:val="left"/>
      <w:pPr>
        <w:ind w:left="6160" w:hanging="360"/>
      </w:pPr>
      <w:rPr>
        <w:rFonts w:ascii="Courier New" w:hAnsi="Courier New" w:cs="Courier New" w:hint="default"/>
      </w:rPr>
    </w:lvl>
    <w:lvl w:ilvl="8" w:tplc="04100005" w:tentative="1">
      <w:start w:val="1"/>
      <w:numFmt w:val="bullet"/>
      <w:lvlText w:val=""/>
      <w:lvlJc w:val="left"/>
      <w:pPr>
        <w:ind w:left="6880" w:hanging="360"/>
      </w:pPr>
      <w:rPr>
        <w:rFonts w:ascii="Wingdings" w:hAnsi="Wingdings" w:hint="default"/>
      </w:rPr>
    </w:lvl>
  </w:abstractNum>
  <w:abstractNum w:abstractNumId="20" w15:restartNumberingAfterBreak="0">
    <w:nsid w:val="6CFA0603"/>
    <w:multiLevelType w:val="hybridMultilevel"/>
    <w:tmpl w:val="3E7ED29C"/>
    <w:lvl w:ilvl="0" w:tplc="1424EE22">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D517E49"/>
    <w:multiLevelType w:val="hybridMultilevel"/>
    <w:tmpl w:val="3E7ED29C"/>
    <w:lvl w:ilvl="0" w:tplc="1424EE22">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703F021C"/>
    <w:multiLevelType w:val="hybridMultilevel"/>
    <w:tmpl w:val="EBDAC1B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7">
      <w:start w:val="1"/>
      <w:numFmt w:val="bullet"/>
      <w:lvlText w:val=""/>
      <w:lvlJc w:val="left"/>
      <w:pPr>
        <w:tabs>
          <w:tab w:val="num" w:pos="2509"/>
        </w:tabs>
        <w:ind w:left="2509" w:hanging="360"/>
      </w:pPr>
      <w:rPr>
        <w:rFonts w:ascii="Wingdings" w:hAnsi="Wingdings" w:hint="default"/>
        <w:sz w:val="16"/>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23041955">
    <w:abstractNumId w:val="8"/>
  </w:num>
  <w:num w:numId="2" w16cid:durableId="1444882333">
    <w:abstractNumId w:val="0"/>
  </w:num>
  <w:num w:numId="3" w16cid:durableId="2058241347">
    <w:abstractNumId w:val="1"/>
  </w:num>
  <w:num w:numId="4" w16cid:durableId="1751004205">
    <w:abstractNumId w:val="13"/>
  </w:num>
  <w:num w:numId="5" w16cid:durableId="1710957711">
    <w:abstractNumId w:val="10"/>
  </w:num>
  <w:num w:numId="6" w16cid:durableId="1652294163">
    <w:abstractNumId w:val="19"/>
  </w:num>
  <w:num w:numId="7" w16cid:durableId="1890873653">
    <w:abstractNumId w:val="6"/>
  </w:num>
  <w:num w:numId="8" w16cid:durableId="1421483808">
    <w:abstractNumId w:val="14"/>
  </w:num>
  <w:num w:numId="9" w16cid:durableId="20270986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2898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1426917">
    <w:abstractNumId w:val="16"/>
  </w:num>
  <w:num w:numId="12" w16cid:durableId="1440949940">
    <w:abstractNumId w:val="15"/>
  </w:num>
  <w:num w:numId="13" w16cid:durableId="641352289">
    <w:abstractNumId w:val="20"/>
  </w:num>
  <w:num w:numId="14" w16cid:durableId="1348556691">
    <w:abstractNumId w:val="21"/>
  </w:num>
  <w:num w:numId="15" w16cid:durableId="1317997021">
    <w:abstractNumId w:val="4"/>
  </w:num>
  <w:num w:numId="16" w16cid:durableId="1245918894">
    <w:abstractNumId w:val="12"/>
  </w:num>
  <w:num w:numId="17" w16cid:durableId="1960454227">
    <w:abstractNumId w:val="7"/>
  </w:num>
  <w:num w:numId="18" w16cid:durableId="677192639">
    <w:abstractNumId w:val="5"/>
  </w:num>
  <w:num w:numId="19" w16cid:durableId="1312561637">
    <w:abstractNumId w:val="18"/>
  </w:num>
  <w:num w:numId="20" w16cid:durableId="1160661112">
    <w:abstractNumId w:val="2"/>
  </w:num>
  <w:num w:numId="21" w16cid:durableId="1385063023">
    <w:abstractNumId w:val="11"/>
  </w:num>
  <w:num w:numId="22" w16cid:durableId="1200051324">
    <w:abstractNumId w:val="22"/>
  </w:num>
  <w:num w:numId="23" w16cid:durableId="1678849931">
    <w:abstractNumId w:val="3"/>
  </w:num>
  <w:num w:numId="24" w16cid:durableId="620113225">
    <w:abstractNumId w:val="17"/>
  </w:num>
  <w:num w:numId="25" w16cid:durableId="1692999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3BD"/>
    <w:rsid w:val="0000104D"/>
    <w:rsid w:val="00017B2A"/>
    <w:rsid w:val="0002593E"/>
    <w:rsid w:val="000B6E97"/>
    <w:rsid w:val="000C4E0E"/>
    <w:rsid w:val="000D35AA"/>
    <w:rsid w:val="000D5E97"/>
    <w:rsid w:val="000E4B03"/>
    <w:rsid w:val="000E56ED"/>
    <w:rsid w:val="000F23BD"/>
    <w:rsid w:val="00106D1A"/>
    <w:rsid w:val="001071DD"/>
    <w:rsid w:val="00110923"/>
    <w:rsid w:val="0011777D"/>
    <w:rsid w:val="00120C15"/>
    <w:rsid w:val="001268DB"/>
    <w:rsid w:val="00144C5D"/>
    <w:rsid w:val="001505E3"/>
    <w:rsid w:val="001568BD"/>
    <w:rsid w:val="00176BC9"/>
    <w:rsid w:val="001935EB"/>
    <w:rsid w:val="00197CA5"/>
    <w:rsid w:val="001A2EF5"/>
    <w:rsid w:val="001A5189"/>
    <w:rsid w:val="001C6080"/>
    <w:rsid w:val="001D6B53"/>
    <w:rsid w:val="001D7F67"/>
    <w:rsid w:val="002130FE"/>
    <w:rsid w:val="00222E46"/>
    <w:rsid w:val="00230A9F"/>
    <w:rsid w:val="002322C7"/>
    <w:rsid w:val="00246881"/>
    <w:rsid w:val="00264711"/>
    <w:rsid w:val="00276B59"/>
    <w:rsid w:val="00297775"/>
    <w:rsid w:val="002A1730"/>
    <w:rsid w:val="002B384B"/>
    <w:rsid w:val="002B4219"/>
    <w:rsid w:val="002D5697"/>
    <w:rsid w:val="00324659"/>
    <w:rsid w:val="00330F2A"/>
    <w:rsid w:val="003819DF"/>
    <w:rsid w:val="003826FA"/>
    <w:rsid w:val="003D3CEA"/>
    <w:rsid w:val="003F6E46"/>
    <w:rsid w:val="004018FB"/>
    <w:rsid w:val="004366EC"/>
    <w:rsid w:val="00460B02"/>
    <w:rsid w:val="0047324E"/>
    <w:rsid w:val="00482C65"/>
    <w:rsid w:val="004F3DC8"/>
    <w:rsid w:val="004F59DF"/>
    <w:rsid w:val="004F5E52"/>
    <w:rsid w:val="005132DE"/>
    <w:rsid w:val="005173CF"/>
    <w:rsid w:val="00525616"/>
    <w:rsid w:val="0053582A"/>
    <w:rsid w:val="005754D3"/>
    <w:rsid w:val="005E64E4"/>
    <w:rsid w:val="005F18DB"/>
    <w:rsid w:val="0061523E"/>
    <w:rsid w:val="00656A93"/>
    <w:rsid w:val="00660A4E"/>
    <w:rsid w:val="00675018"/>
    <w:rsid w:val="00684DBF"/>
    <w:rsid w:val="006A4D31"/>
    <w:rsid w:val="006C2866"/>
    <w:rsid w:val="006D45E5"/>
    <w:rsid w:val="006E309D"/>
    <w:rsid w:val="006E6142"/>
    <w:rsid w:val="007317CD"/>
    <w:rsid w:val="007327CE"/>
    <w:rsid w:val="00737156"/>
    <w:rsid w:val="00745DAD"/>
    <w:rsid w:val="00756883"/>
    <w:rsid w:val="00770B98"/>
    <w:rsid w:val="00787470"/>
    <w:rsid w:val="00796DE7"/>
    <w:rsid w:val="007A6EC9"/>
    <w:rsid w:val="007C4C66"/>
    <w:rsid w:val="00815A51"/>
    <w:rsid w:val="0084782A"/>
    <w:rsid w:val="00847C84"/>
    <w:rsid w:val="00863543"/>
    <w:rsid w:val="0087240C"/>
    <w:rsid w:val="008E14DF"/>
    <w:rsid w:val="008E165F"/>
    <w:rsid w:val="00906E75"/>
    <w:rsid w:val="009100B5"/>
    <w:rsid w:val="00910A17"/>
    <w:rsid w:val="00910E2F"/>
    <w:rsid w:val="00933BCD"/>
    <w:rsid w:val="00961489"/>
    <w:rsid w:val="0099542D"/>
    <w:rsid w:val="009C16EB"/>
    <w:rsid w:val="009C69E0"/>
    <w:rsid w:val="00A27EA8"/>
    <w:rsid w:val="00A402F6"/>
    <w:rsid w:val="00A977DE"/>
    <w:rsid w:val="00AC1724"/>
    <w:rsid w:val="00AC6579"/>
    <w:rsid w:val="00B24538"/>
    <w:rsid w:val="00B33473"/>
    <w:rsid w:val="00B54756"/>
    <w:rsid w:val="00B54F19"/>
    <w:rsid w:val="00B711C0"/>
    <w:rsid w:val="00B95472"/>
    <w:rsid w:val="00BA0D9C"/>
    <w:rsid w:val="00BA3008"/>
    <w:rsid w:val="00BF499B"/>
    <w:rsid w:val="00C00BF9"/>
    <w:rsid w:val="00C05672"/>
    <w:rsid w:val="00C53362"/>
    <w:rsid w:val="00CE619E"/>
    <w:rsid w:val="00CF47B2"/>
    <w:rsid w:val="00D37322"/>
    <w:rsid w:val="00D43CB7"/>
    <w:rsid w:val="00D733DC"/>
    <w:rsid w:val="00D92A81"/>
    <w:rsid w:val="00DB0F06"/>
    <w:rsid w:val="00DC037B"/>
    <w:rsid w:val="00E12504"/>
    <w:rsid w:val="00E160BE"/>
    <w:rsid w:val="00E27EF4"/>
    <w:rsid w:val="00E34A0A"/>
    <w:rsid w:val="00E9446A"/>
    <w:rsid w:val="00EC77CA"/>
    <w:rsid w:val="00ED1446"/>
    <w:rsid w:val="00EE5AF8"/>
    <w:rsid w:val="00EF1CA3"/>
    <w:rsid w:val="00EF634F"/>
    <w:rsid w:val="00EF7FB8"/>
    <w:rsid w:val="00F34CDA"/>
    <w:rsid w:val="00F63A02"/>
    <w:rsid w:val="00FC516B"/>
    <w:rsid w:val="00FC7151"/>
    <w:rsid w:val="00FE0E3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CA69F0"/>
  <w15:docId w15:val="{16CF0729-40EF-4BD6-AF80-4E318184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23BD"/>
    <w:pPr>
      <w:spacing w:after="0" w:line="240" w:lineRule="auto"/>
    </w:pPr>
    <w:rPr>
      <w:rFonts w:eastAsiaTheme="minorEastAsia"/>
      <w:sz w:val="24"/>
      <w:szCs w:val="24"/>
      <w:lang w:eastAsia="it-IT"/>
    </w:rPr>
  </w:style>
  <w:style w:type="paragraph" w:styleId="Titolo2">
    <w:name w:val="heading 2"/>
    <w:basedOn w:val="Normale"/>
    <w:next w:val="Normale"/>
    <w:link w:val="Titolo2Carattere"/>
    <w:uiPriority w:val="9"/>
    <w:unhideWhenUsed/>
    <w:qFormat/>
    <w:rsid w:val="007874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0F23BD"/>
    <w:pPr>
      <w:keepNext/>
      <w:ind w:right="-284"/>
      <w:outlineLvl w:val="2"/>
    </w:pPr>
    <w:rPr>
      <w:rFonts w:ascii="Times New Roman" w:eastAsia="Times New Roman" w:hAnsi="Times New Roman" w:cs="Times New Roman"/>
      <w:szCs w:val="20"/>
    </w:rPr>
  </w:style>
  <w:style w:type="paragraph" w:styleId="Titolo5">
    <w:name w:val="heading 5"/>
    <w:basedOn w:val="Normale"/>
    <w:next w:val="Normale"/>
    <w:link w:val="Titolo5Carattere"/>
    <w:uiPriority w:val="9"/>
    <w:semiHidden/>
    <w:unhideWhenUsed/>
    <w:qFormat/>
    <w:rsid w:val="00E34A0A"/>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23BD"/>
    <w:pPr>
      <w:tabs>
        <w:tab w:val="center" w:pos="4819"/>
        <w:tab w:val="right" w:pos="9638"/>
      </w:tabs>
    </w:pPr>
  </w:style>
  <w:style w:type="character" w:customStyle="1" w:styleId="IntestazioneCarattere">
    <w:name w:val="Intestazione Carattere"/>
    <w:basedOn w:val="Carpredefinitoparagrafo"/>
    <w:link w:val="Intestazione"/>
    <w:uiPriority w:val="99"/>
    <w:rsid w:val="000F23BD"/>
  </w:style>
  <w:style w:type="paragraph" w:styleId="Pidipagina">
    <w:name w:val="footer"/>
    <w:basedOn w:val="Normale"/>
    <w:link w:val="PidipaginaCarattere"/>
    <w:uiPriority w:val="99"/>
    <w:unhideWhenUsed/>
    <w:rsid w:val="000F23BD"/>
    <w:pPr>
      <w:tabs>
        <w:tab w:val="center" w:pos="4819"/>
        <w:tab w:val="right" w:pos="9638"/>
      </w:tabs>
    </w:pPr>
  </w:style>
  <w:style w:type="character" w:customStyle="1" w:styleId="PidipaginaCarattere">
    <w:name w:val="Piè di pagina Carattere"/>
    <w:basedOn w:val="Carpredefinitoparagrafo"/>
    <w:link w:val="Pidipagina"/>
    <w:uiPriority w:val="99"/>
    <w:rsid w:val="000F23BD"/>
  </w:style>
  <w:style w:type="character" w:customStyle="1" w:styleId="Titolo3Carattere">
    <w:name w:val="Titolo 3 Carattere"/>
    <w:basedOn w:val="Carpredefinitoparagrafo"/>
    <w:link w:val="Titolo3"/>
    <w:rsid w:val="000F23BD"/>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0F23BD"/>
    <w:rPr>
      <w:rFonts w:ascii="Courier New" w:eastAsia="Times New Roman" w:hAnsi="Courier New" w:cs="Times New Roman"/>
      <w:snapToGrid w:val="0"/>
      <w:color w:val="000080"/>
      <w:sz w:val="20"/>
      <w:szCs w:val="20"/>
    </w:rPr>
  </w:style>
  <w:style w:type="character" w:customStyle="1" w:styleId="TestonormaleCarattere">
    <w:name w:val="Testo normale Carattere"/>
    <w:basedOn w:val="Carpredefinitoparagrafo"/>
    <w:link w:val="Testonormale"/>
    <w:rsid w:val="000F23BD"/>
    <w:rPr>
      <w:rFonts w:ascii="Courier New" w:eastAsia="Times New Roman" w:hAnsi="Courier New" w:cs="Times New Roman"/>
      <w:snapToGrid w:val="0"/>
      <w:color w:val="000080"/>
      <w:sz w:val="20"/>
      <w:szCs w:val="20"/>
      <w:lang w:eastAsia="it-IT"/>
    </w:rPr>
  </w:style>
  <w:style w:type="paragraph" w:styleId="Testodelblocco">
    <w:name w:val="Block Text"/>
    <w:basedOn w:val="Normale"/>
    <w:rsid w:val="000F23BD"/>
    <w:pPr>
      <w:tabs>
        <w:tab w:val="left" w:pos="284"/>
        <w:tab w:val="left" w:pos="1701"/>
      </w:tabs>
      <w:ind w:left="1559" w:right="397" w:hanging="1559"/>
      <w:jc w:val="both"/>
    </w:pPr>
    <w:rPr>
      <w:rFonts w:ascii="Times New Roman" w:eastAsia="Times New Roman" w:hAnsi="Times New Roman" w:cs="Times New Roman"/>
      <w:b/>
      <w:szCs w:val="20"/>
    </w:rPr>
  </w:style>
  <w:style w:type="paragraph" w:styleId="NormaleWeb">
    <w:name w:val="Normal (Web)"/>
    <w:basedOn w:val="Normale"/>
    <w:uiPriority w:val="99"/>
    <w:rsid w:val="000F23BD"/>
    <w:pPr>
      <w:spacing w:before="100" w:after="100"/>
    </w:pPr>
    <w:rPr>
      <w:rFonts w:ascii="Times New Roman" w:eastAsia="Times New Roman" w:hAnsi="Times New Roman" w:cs="Times New Roman"/>
      <w:szCs w:val="20"/>
    </w:rPr>
  </w:style>
  <w:style w:type="paragraph" w:styleId="Testonotaapidipagina">
    <w:name w:val="footnote text"/>
    <w:basedOn w:val="Normale"/>
    <w:link w:val="TestonotaapidipaginaCarattere"/>
    <w:uiPriority w:val="99"/>
    <w:semiHidden/>
    <w:unhideWhenUsed/>
    <w:rsid w:val="000F23BD"/>
    <w:rPr>
      <w:rFonts w:ascii="Calibri" w:eastAsiaTheme="minorHAns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0F23BD"/>
    <w:rPr>
      <w:rFonts w:ascii="Calibri" w:hAnsi="Calibri" w:cs="Times New Roman"/>
      <w:sz w:val="20"/>
      <w:szCs w:val="20"/>
      <w:lang w:eastAsia="it-IT"/>
    </w:rPr>
  </w:style>
  <w:style w:type="character" w:styleId="Rimandonotaapidipagina">
    <w:name w:val="footnote reference"/>
    <w:basedOn w:val="Carpredefinitoparagrafo"/>
    <w:semiHidden/>
    <w:unhideWhenUsed/>
    <w:rsid w:val="000F23BD"/>
    <w:rPr>
      <w:vertAlign w:val="superscript"/>
    </w:rPr>
  </w:style>
  <w:style w:type="paragraph" w:styleId="Paragrafoelenco">
    <w:name w:val="List Paragraph"/>
    <w:basedOn w:val="Normale"/>
    <w:uiPriority w:val="34"/>
    <w:qFormat/>
    <w:rsid w:val="000F23BD"/>
    <w:pPr>
      <w:ind w:left="720"/>
      <w:contextualSpacing/>
    </w:pPr>
    <w:rPr>
      <w:rFonts w:ascii="Calibri" w:eastAsiaTheme="minorHAnsi" w:hAnsi="Calibri" w:cs="Times New Roman"/>
      <w:sz w:val="22"/>
      <w:szCs w:val="22"/>
    </w:rPr>
  </w:style>
  <w:style w:type="paragraph" w:customStyle="1" w:styleId="provvr1">
    <w:name w:val="provv_r1"/>
    <w:basedOn w:val="Normale"/>
    <w:rsid w:val="000F23BD"/>
    <w:pPr>
      <w:spacing w:before="100" w:beforeAutospacing="1" w:after="100" w:afterAutospacing="1"/>
      <w:ind w:firstLine="400"/>
      <w:jc w:val="both"/>
    </w:pPr>
    <w:rPr>
      <w:rFonts w:ascii="Times New Roman" w:eastAsia="Times New Roman" w:hAnsi="Times New Roman" w:cs="Times New Roman"/>
    </w:rPr>
  </w:style>
  <w:style w:type="character" w:styleId="Collegamentoipertestuale">
    <w:name w:val="Hyperlink"/>
    <w:unhideWhenUsed/>
    <w:rsid w:val="006A4D31"/>
    <w:rPr>
      <w:color w:val="0000FF"/>
      <w:u w:val="single"/>
    </w:rPr>
  </w:style>
  <w:style w:type="paragraph" w:styleId="Corpodeltesto3">
    <w:name w:val="Body Text 3"/>
    <w:basedOn w:val="Normale"/>
    <w:link w:val="Corpodeltesto3Carattere"/>
    <w:unhideWhenUsed/>
    <w:rsid w:val="006A4D31"/>
    <w:pPr>
      <w:jc w:val="both"/>
    </w:pPr>
    <w:rPr>
      <w:rFonts w:ascii="Times New Roman" w:eastAsia="Times New Roman" w:hAnsi="Times New Roman" w:cs="Times New Roman"/>
      <w:szCs w:val="20"/>
    </w:rPr>
  </w:style>
  <w:style w:type="character" w:customStyle="1" w:styleId="Corpodeltesto3Carattere">
    <w:name w:val="Corpo del testo 3 Carattere"/>
    <w:basedOn w:val="Carpredefinitoparagrafo"/>
    <w:link w:val="Corpodeltesto3"/>
    <w:rsid w:val="006A4D31"/>
    <w:rPr>
      <w:rFonts w:ascii="Times New Roman" w:eastAsia="Times New Roman" w:hAnsi="Times New Roman" w:cs="Times New Roman"/>
      <w:sz w:val="24"/>
      <w:szCs w:val="20"/>
      <w:lang w:eastAsia="it-IT"/>
    </w:rPr>
  </w:style>
  <w:style w:type="paragraph" w:customStyle="1" w:styleId="Default">
    <w:name w:val="Default"/>
    <w:basedOn w:val="Normale"/>
    <w:rsid w:val="006C2866"/>
    <w:pPr>
      <w:autoSpaceDE w:val="0"/>
      <w:autoSpaceDN w:val="0"/>
    </w:pPr>
    <w:rPr>
      <w:rFonts w:ascii="Times New Roman" w:eastAsiaTheme="minorHAnsi" w:hAnsi="Times New Roman" w:cs="Times New Roman"/>
      <w:color w:val="000000"/>
    </w:rPr>
  </w:style>
  <w:style w:type="character" w:styleId="Enfasicorsivo">
    <w:name w:val="Emphasis"/>
    <w:basedOn w:val="Carpredefinitoparagrafo"/>
    <w:uiPriority w:val="20"/>
    <w:qFormat/>
    <w:rsid w:val="00C53362"/>
    <w:rPr>
      <w:i/>
      <w:iCs/>
    </w:rPr>
  </w:style>
  <w:style w:type="character" w:customStyle="1" w:styleId="apple-converted-space">
    <w:name w:val="apple-converted-space"/>
    <w:basedOn w:val="Carpredefinitoparagrafo"/>
    <w:rsid w:val="00C53362"/>
  </w:style>
  <w:style w:type="character" w:styleId="Enfasigrassetto">
    <w:name w:val="Strong"/>
    <w:basedOn w:val="Carpredefinitoparagrafo"/>
    <w:uiPriority w:val="22"/>
    <w:qFormat/>
    <w:rsid w:val="00C53362"/>
    <w:rPr>
      <w:b/>
      <w:bCs/>
    </w:rPr>
  </w:style>
  <w:style w:type="character" w:customStyle="1" w:styleId="Titolo2Carattere">
    <w:name w:val="Titolo 2 Carattere"/>
    <w:basedOn w:val="Carpredefinitoparagrafo"/>
    <w:link w:val="Titolo2"/>
    <w:uiPriority w:val="9"/>
    <w:rsid w:val="00787470"/>
    <w:rPr>
      <w:rFonts w:asciiTheme="majorHAnsi" w:eastAsiaTheme="majorEastAsia" w:hAnsiTheme="majorHAnsi" w:cstheme="majorBidi"/>
      <w:color w:val="365F91" w:themeColor="accent1" w:themeShade="BF"/>
      <w:sz w:val="26"/>
      <w:szCs w:val="26"/>
      <w:lang w:eastAsia="it-IT"/>
    </w:rPr>
  </w:style>
  <w:style w:type="character" w:customStyle="1" w:styleId="Menzionenonrisolta1">
    <w:name w:val="Menzione non risolta1"/>
    <w:basedOn w:val="Carpredefinitoparagrafo"/>
    <w:uiPriority w:val="99"/>
    <w:semiHidden/>
    <w:unhideWhenUsed/>
    <w:rsid w:val="003F6E46"/>
    <w:rPr>
      <w:color w:val="808080"/>
      <w:shd w:val="clear" w:color="auto" w:fill="E6E6E6"/>
    </w:rPr>
  </w:style>
  <w:style w:type="paragraph" w:styleId="Rientrocorpodeltesto">
    <w:name w:val="Body Text Indent"/>
    <w:basedOn w:val="Normale"/>
    <w:link w:val="RientrocorpodeltestoCarattere"/>
    <w:uiPriority w:val="99"/>
    <w:semiHidden/>
    <w:unhideWhenUsed/>
    <w:rsid w:val="001C608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C6080"/>
    <w:rPr>
      <w:rFonts w:eastAsiaTheme="minorEastAsia"/>
      <w:sz w:val="24"/>
      <w:szCs w:val="24"/>
      <w:lang w:eastAsia="it-IT"/>
    </w:rPr>
  </w:style>
  <w:style w:type="character" w:customStyle="1" w:styleId="Titolo5Carattere">
    <w:name w:val="Titolo 5 Carattere"/>
    <w:basedOn w:val="Carpredefinitoparagrafo"/>
    <w:link w:val="Titolo5"/>
    <w:uiPriority w:val="9"/>
    <w:semiHidden/>
    <w:rsid w:val="00E34A0A"/>
    <w:rPr>
      <w:rFonts w:asciiTheme="majorHAnsi" w:eastAsiaTheme="majorEastAsia" w:hAnsiTheme="majorHAnsi" w:cstheme="majorBidi"/>
      <w:color w:val="365F91" w:themeColor="accent1" w:themeShade="BF"/>
      <w:sz w:val="24"/>
      <w:szCs w:val="24"/>
      <w:lang w:eastAsia="it-IT"/>
    </w:rPr>
  </w:style>
  <w:style w:type="paragraph" w:styleId="Corpodeltesto2">
    <w:name w:val="Body Text 2"/>
    <w:basedOn w:val="Normale"/>
    <w:link w:val="Corpodeltesto2Carattere"/>
    <w:uiPriority w:val="99"/>
    <w:semiHidden/>
    <w:unhideWhenUsed/>
    <w:rsid w:val="00E34A0A"/>
    <w:pPr>
      <w:spacing w:after="120" w:line="480" w:lineRule="auto"/>
    </w:pPr>
  </w:style>
  <w:style w:type="character" w:customStyle="1" w:styleId="Corpodeltesto2Carattere">
    <w:name w:val="Corpo del testo 2 Carattere"/>
    <w:basedOn w:val="Carpredefinitoparagrafo"/>
    <w:link w:val="Corpodeltesto2"/>
    <w:uiPriority w:val="99"/>
    <w:semiHidden/>
    <w:rsid w:val="00E34A0A"/>
    <w:rPr>
      <w:rFonts w:eastAsiaTheme="minorEastAsia"/>
      <w:sz w:val="24"/>
      <w:szCs w:val="24"/>
      <w:lang w:eastAsia="it-IT"/>
    </w:rPr>
  </w:style>
  <w:style w:type="paragraph" w:styleId="Testofumetto">
    <w:name w:val="Balloon Text"/>
    <w:basedOn w:val="Normale"/>
    <w:link w:val="TestofumettoCarattere"/>
    <w:uiPriority w:val="99"/>
    <w:semiHidden/>
    <w:unhideWhenUsed/>
    <w:rsid w:val="00176B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176BC9"/>
    <w:rPr>
      <w:rFonts w:ascii="Lucida Grande" w:eastAsiaTheme="minorEastAsia" w:hAnsi="Lucida Grande" w:cs="Lucida Grande"/>
      <w:sz w:val="18"/>
      <w:szCs w:val="18"/>
      <w:lang w:eastAsia="it-IT"/>
    </w:rPr>
  </w:style>
  <w:style w:type="character" w:styleId="Rimandocommento">
    <w:name w:val="annotation reference"/>
    <w:basedOn w:val="Carpredefinitoparagrafo"/>
    <w:uiPriority w:val="99"/>
    <w:unhideWhenUsed/>
    <w:rsid w:val="000E56ED"/>
    <w:rPr>
      <w:sz w:val="18"/>
      <w:szCs w:val="18"/>
    </w:rPr>
  </w:style>
  <w:style w:type="paragraph" w:styleId="Testocommento">
    <w:name w:val="annotation text"/>
    <w:basedOn w:val="Normale"/>
    <w:link w:val="TestocommentoCarattere"/>
    <w:uiPriority w:val="99"/>
    <w:unhideWhenUsed/>
    <w:rsid w:val="000E56ED"/>
  </w:style>
  <w:style w:type="character" w:customStyle="1" w:styleId="TestocommentoCarattere">
    <w:name w:val="Testo commento Carattere"/>
    <w:basedOn w:val="Carpredefinitoparagrafo"/>
    <w:link w:val="Testocommento"/>
    <w:uiPriority w:val="99"/>
    <w:rsid w:val="000E56ED"/>
    <w:rPr>
      <w:rFonts w:eastAsiaTheme="minorEastAsia"/>
      <w:sz w:val="24"/>
      <w:szCs w:val="24"/>
      <w:lang w:eastAsia="it-IT"/>
    </w:rPr>
  </w:style>
  <w:style w:type="paragraph" w:styleId="Soggettocommento">
    <w:name w:val="annotation subject"/>
    <w:basedOn w:val="Testocommento"/>
    <w:next w:val="Testocommento"/>
    <w:link w:val="SoggettocommentoCarattere"/>
    <w:uiPriority w:val="99"/>
    <w:semiHidden/>
    <w:unhideWhenUsed/>
    <w:rsid w:val="000E56ED"/>
    <w:rPr>
      <w:b/>
      <w:bCs/>
      <w:sz w:val="20"/>
      <w:szCs w:val="20"/>
    </w:rPr>
  </w:style>
  <w:style w:type="character" w:customStyle="1" w:styleId="SoggettocommentoCarattere">
    <w:name w:val="Soggetto commento Carattere"/>
    <w:basedOn w:val="TestocommentoCarattere"/>
    <w:link w:val="Soggettocommento"/>
    <w:uiPriority w:val="99"/>
    <w:semiHidden/>
    <w:rsid w:val="000E56ED"/>
    <w:rPr>
      <w:rFonts w:eastAsiaTheme="minorEastAsia"/>
      <w:b/>
      <w:bCs/>
      <w:sz w:val="20"/>
      <w:szCs w:val="20"/>
      <w:lang w:eastAsia="it-IT"/>
    </w:rPr>
  </w:style>
  <w:style w:type="paragraph" w:styleId="Revisione">
    <w:name w:val="Revision"/>
    <w:hidden/>
    <w:uiPriority w:val="99"/>
    <w:semiHidden/>
    <w:rsid w:val="007327CE"/>
    <w:pPr>
      <w:spacing w:after="0" w:line="240" w:lineRule="auto"/>
    </w:pPr>
    <w:rPr>
      <w:rFonts w:eastAsiaTheme="minorEastAsia"/>
      <w:sz w:val="24"/>
      <w:szCs w:val="24"/>
      <w:lang w:eastAsia="it-IT"/>
    </w:rPr>
  </w:style>
  <w:style w:type="table" w:styleId="Grigliatabella">
    <w:name w:val="Table Grid"/>
    <w:basedOn w:val="Tabellanormale"/>
    <w:uiPriority w:val="59"/>
    <w:rsid w:val="000D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05033">
      <w:bodyDiv w:val="1"/>
      <w:marLeft w:val="0"/>
      <w:marRight w:val="0"/>
      <w:marTop w:val="0"/>
      <w:marBottom w:val="0"/>
      <w:divBdr>
        <w:top w:val="none" w:sz="0" w:space="0" w:color="auto"/>
        <w:left w:val="none" w:sz="0" w:space="0" w:color="auto"/>
        <w:bottom w:val="none" w:sz="0" w:space="0" w:color="auto"/>
        <w:right w:val="none" w:sz="0" w:space="0" w:color="auto"/>
      </w:divBdr>
    </w:div>
    <w:div w:id="1150175007">
      <w:bodyDiv w:val="1"/>
      <w:marLeft w:val="0"/>
      <w:marRight w:val="0"/>
      <w:marTop w:val="0"/>
      <w:marBottom w:val="0"/>
      <w:divBdr>
        <w:top w:val="none" w:sz="0" w:space="0" w:color="auto"/>
        <w:left w:val="none" w:sz="0" w:space="0" w:color="auto"/>
        <w:bottom w:val="none" w:sz="0" w:space="0" w:color="auto"/>
        <w:right w:val="none" w:sz="0" w:space="0" w:color="auto"/>
      </w:divBdr>
    </w:div>
    <w:div w:id="1402560374">
      <w:bodyDiv w:val="1"/>
      <w:marLeft w:val="0"/>
      <w:marRight w:val="0"/>
      <w:marTop w:val="0"/>
      <w:marBottom w:val="0"/>
      <w:divBdr>
        <w:top w:val="none" w:sz="0" w:space="0" w:color="auto"/>
        <w:left w:val="none" w:sz="0" w:space="0" w:color="auto"/>
        <w:bottom w:val="none" w:sz="0" w:space="0" w:color="auto"/>
        <w:right w:val="none" w:sz="0" w:space="0" w:color="auto"/>
      </w:divBdr>
    </w:div>
    <w:div w:id="1476725142">
      <w:bodyDiv w:val="1"/>
      <w:marLeft w:val="0"/>
      <w:marRight w:val="0"/>
      <w:marTop w:val="0"/>
      <w:marBottom w:val="0"/>
      <w:divBdr>
        <w:top w:val="none" w:sz="0" w:space="0" w:color="auto"/>
        <w:left w:val="none" w:sz="0" w:space="0" w:color="auto"/>
        <w:bottom w:val="none" w:sz="0" w:space="0" w:color="auto"/>
        <w:right w:val="none" w:sz="0" w:space="0" w:color="auto"/>
      </w:divBdr>
    </w:div>
    <w:div w:id="1816871750">
      <w:bodyDiv w:val="1"/>
      <w:marLeft w:val="0"/>
      <w:marRight w:val="0"/>
      <w:marTop w:val="0"/>
      <w:marBottom w:val="0"/>
      <w:divBdr>
        <w:top w:val="none" w:sz="0" w:space="0" w:color="auto"/>
        <w:left w:val="none" w:sz="0" w:space="0" w:color="auto"/>
        <w:bottom w:val="none" w:sz="0" w:space="0" w:color="auto"/>
        <w:right w:val="none" w:sz="0" w:space="0" w:color="auto"/>
      </w:divBdr>
    </w:div>
    <w:div w:id="21354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f.consob.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537D4-D3B3-E34C-BD3A-D4CDA011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4987</Words>
  <Characters>28431</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Biordi</dc:creator>
  <cp:keywords/>
  <dc:description/>
  <cp:lastModifiedBy>Simona Godio</cp:lastModifiedBy>
  <cp:revision>30</cp:revision>
  <cp:lastPrinted>2018-01-08T16:31:00Z</cp:lastPrinted>
  <dcterms:created xsi:type="dcterms:W3CDTF">2018-03-02T10:01:00Z</dcterms:created>
  <dcterms:modified xsi:type="dcterms:W3CDTF">2023-06-26T09:16:00Z</dcterms:modified>
</cp:coreProperties>
</file>