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0D1A" w14:textId="77777777" w:rsidR="00C244F8" w:rsidRDefault="00C244F8" w:rsidP="00C244F8">
      <w:pPr>
        <w:jc w:val="both"/>
        <w:rPr>
          <w:sz w:val="20"/>
          <w:szCs w:val="20"/>
        </w:rPr>
      </w:pPr>
    </w:p>
    <w:tbl>
      <w:tblPr>
        <w:tblStyle w:val="Grigliatabella"/>
        <w:tblW w:w="0" w:type="auto"/>
        <w:tblLook w:val="04A0" w:firstRow="1" w:lastRow="0" w:firstColumn="1" w:lastColumn="0" w:noHBand="0" w:noVBand="1"/>
      </w:tblPr>
      <w:tblGrid>
        <w:gridCol w:w="8494"/>
      </w:tblGrid>
      <w:tr w:rsidR="00C244F8" w14:paraId="090D0255" w14:textId="77777777" w:rsidTr="00C244F8">
        <w:tc>
          <w:tcPr>
            <w:tcW w:w="8494" w:type="dxa"/>
          </w:tcPr>
          <w:p w14:paraId="2D0B208F" w14:textId="77777777" w:rsidR="00E655FD" w:rsidRDefault="00E655FD" w:rsidP="00E655FD">
            <w:pPr>
              <w:jc w:val="center"/>
              <w:rPr>
                <w:rFonts w:ascii="Times New Roman" w:hAnsi="Times New Roman" w:cs="Times New Roman"/>
                <w:sz w:val="20"/>
                <w:szCs w:val="20"/>
                <w:u w:val="single"/>
              </w:rPr>
            </w:pPr>
            <w:r w:rsidRPr="00E34A0A">
              <w:rPr>
                <w:rFonts w:ascii="Times New Roman" w:hAnsi="Times New Roman" w:cs="Times New Roman"/>
                <w:sz w:val="20"/>
                <w:szCs w:val="20"/>
                <w:u w:val="single"/>
              </w:rPr>
              <w:t>AVVERTENZA</w:t>
            </w:r>
          </w:p>
          <w:p w14:paraId="589BA3CB" w14:textId="77777777" w:rsidR="00E655FD" w:rsidRPr="00E34A0A" w:rsidRDefault="00E655FD" w:rsidP="00E655FD">
            <w:pPr>
              <w:jc w:val="center"/>
              <w:rPr>
                <w:rFonts w:ascii="Times New Roman" w:hAnsi="Times New Roman" w:cs="Times New Roman"/>
                <w:sz w:val="20"/>
                <w:szCs w:val="20"/>
                <w:u w:val="single"/>
              </w:rPr>
            </w:pPr>
          </w:p>
          <w:p w14:paraId="465108A0" w14:textId="2C318C24" w:rsidR="00C244F8" w:rsidRDefault="00C244F8" w:rsidP="00C244F8">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 xml:space="preserve">per </w:t>
            </w:r>
            <w:r w:rsidR="005F30D3">
              <w:rPr>
                <w:rFonts w:ascii="Times New Roman" w:hAnsi="Times New Roman" w:cs="Times New Roman"/>
                <w:b/>
                <w:i/>
                <w:sz w:val="20"/>
                <w:szCs w:val="20"/>
                <w:u w:val="single"/>
              </w:rPr>
              <w:t>controparti qualificate</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5CECF201" w14:textId="77777777" w:rsidR="00C244F8" w:rsidRDefault="00C244F8" w:rsidP="00C244F8">
            <w:pPr>
              <w:jc w:val="both"/>
              <w:rPr>
                <w:rFonts w:ascii="Times New Roman" w:hAnsi="Times New Roman" w:cs="Times New Roman"/>
                <w:i/>
                <w:sz w:val="20"/>
                <w:szCs w:val="20"/>
              </w:rPr>
            </w:pPr>
          </w:p>
        </w:tc>
      </w:tr>
    </w:tbl>
    <w:p w14:paraId="415BD505" w14:textId="77777777" w:rsidR="00047641" w:rsidRPr="00047641" w:rsidRDefault="00047641" w:rsidP="00047641">
      <w:pPr>
        <w:tabs>
          <w:tab w:val="center" w:pos="4182"/>
        </w:tabs>
        <w:ind w:right="141"/>
        <w:jc w:val="both"/>
        <w:rPr>
          <w:rFonts w:ascii="Times New Roman" w:eastAsia="Times New Roman" w:hAnsi="Times New Roman" w:cs="Times New Roman"/>
          <w:b/>
          <w:sz w:val="20"/>
          <w:szCs w:val="20"/>
          <w:u w:val="single"/>
        </w:rPr>
      </w:pPr>
    </w:p>
    <w:p w14:paraId="7A02A70E" w14:textId="77777777" w:rsidR="001B5924" w:rsidRDefault="001B5924" w:rsidP="00047641">
      <w:pPr>
        <w:spacing w:line="360" w:lineRule="auto"/>
        <w:ind w:right="142"/>
        <w:jc w:val="both"/>
        <w:rPr>
          <w:rFonts w:ascii="Times New Roman" w:eastAsia="Times New Roman" w:hAnsi="Times New Roman" w:cs="Times New Roman"/>
          <w:b/>
          <w:bCs/>
          <w:smallCaps/>
          <w:sz w:val="20"/>
          <w:szCs w:val="20"/>
        </w:rPr>
      </w:pPr>
    </w:p>
    <w:p w14:paraId="1BC4403A" w14:textId="77777777" w:rsidR="001B5924" w:rsidRPr="004701B8" w:rsidRDefault="001B5924" w:rsidP="001B5924">
      <w:pPr>
        <w:ind w:right="141"/>
        <w:jc w:val="center"/>
        <w:rPr>
          <w:rFonts w:ascii="Times New Roman" w:eastAsia="Times New Roman" w:hAnsi="Times New Roman" w:cs="Times New Roman"/>
          <w:b/>
          <w:sz w:val="20"/>
          <w:szCs w:val="20"/>
        </w:rPr>
      </w:pPr>
    </w:p>
    <w:p w14:paraId="52E0B182" w14:textId="77777777" w:rsidR="001B5924" w:rsidRPr="004701B8" w:rsidRDefault="001B5924" w:rsidP="001B5924">
      <w:pPr>
        <w:ind w:right="141"/>
        <w:jc w:val="center"/>
        <w:rPr>
          <w:rFonts w:ascii="Times New Roman" w:eastAsia="Times New Roman" w:hAnsi="Times New Roman" w:cs="Times New Roman"/>
          <w:b/>
          <w:sz w:val="20"/>
          <w:szCs w:val="20"/>
        </w:rPr>
      </w:pPr>
    </w:p>
    <w:p w14:paraId="1106B5AA" w14:textId="77777777" w:rsidR="001B5924" w:rsidRPr="004701B8" w:rsidRDefault="001B5924" w:rsidP="001B5924">
      <w:pPr>
        <w:ind w:right="141"/>
        <w:jc w:val="both"/>
        <w:rPr>
          <w:rFonts w:ascii="Times New Roman" w:eastAsia="Times New Roman" w:hAnsi="Times New Roman" w:cs="Times New Roman"/>
          <w:b/>
          <w:sz w:val="20"/>
          <w:szCs w:val="20"/>
          <w:u w:val="single"/>
        </w:rPr>
      </w:pPr>
    </w:p>
    <w:p w14:paraId="4973E611" w14:textId="77777777" w:rsidR="001B5924" w:rsidRPr="004701B8" w:rsidRDefault="001B5924" w:rsidP="001B5924">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Spettabile (</w:t>
      </w:r>
      <w:r w:rsidRPr="004701B8">
        <w:rPr>
          <w:rFonts w:ascii="Times New Roman" w:eastAsia="Times New Roman" w:hAnsi="Times New Roman" w:cs="Times New Roman"/>
          <w:sz w:val="20"/>
          <w:szCs w:val="20"/>
          <w:vertAlign w:val="superscript"/>
        </w:rPr>
        <w:footnoteReference w:id="1"/>
      </w:r>
      <w:r w:rsidRPr="004701B8">
        <w:rPr>
          <w:rFonts w:ascii="Times New Roman" w:eastAsia="Times New Roman" w:hAnsi="Times New Roman" w:cs="Times New Roman"/>
          <w:sz w:val="20"/>
          <w:szCs w:val="20"/>
        </w:rPr>
        <w:t>)</w:t>
      </w:r>
    </w:p>
    <w:p w14:paraId="7E4DF390" w14:textId="77777777" w:rsidR="001B5924" w:rsidRPr="004701B8" w:rsidRDefault="001B5924" w:rsidP="001B5924">
      <w:pPr>
        <w:ind w:right="141" w:firstLine="4678"/>
        <w:jc w:val="both"/>
        <w:rPr>
          <w:rFonts w:ascii="Times New Roman" w:eastAsia="Times New Roman" w:hAnsi="Times New Roman" w:cs="Times New Roman"/>
          <w:i/>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i/>
          <w:sz w:val="20"/>
          <w:szCs w:val="20"/>
        </w:rPr>
        <w:t>inserire dati della Banca / SIM</w:t>
      </w:r>
      <w:r w:rsidRPr="004701B8">
        <w:rPr>
          <w:rFonts w:ascii="Times New Roman" w:eastAsia="Times New Roman" w:hAnsi="Times New Roman" w:cs="Times New Roman"/>
          <w:sz w:val="20"/>
          <w:szCs w:val="20"/>
        </w:rPr>
        <w:t>]</w:t>
      </w:r>
    </w:p>
    <w:p w14:paraId="0F85CFE7" w14:textId="77777777" w:rsidR="001B5924" w:rsidRPr="004701B8" w:rsidRDefault="001B5924" w:rsidP="001B5924">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szCs w:val="20"/>
        </w:rPr>
        <w:sym w:font="Webdings" w:char="F03D"/>
      </w:r>
      <w:r w:rsidRPr="004701B8">
        <w:rPr>
          <w:rFonts w:ascii="Times New Roman" w:eastAsia="Times New Roman" w:hAnsi="Times New Roman" w:cs="Times New Roman"/>
          <w:sz w:val="20"/>
          <w:szCs w:val="20"/>
        </w:rPr>
        <w:t>]</w:t>
      </w:r>
    </w:p>
    <w:p w14:paraId="1B859CAC" w14:textId="77777777" w:rsidR="001B5924" w:rsidRPr="004701B8" w:rsidRDefault="001B5924" w:rsidP="001B5924">
      <w:pPr>
        <w:ind w:right="141" w:firstLine="4678"/>
        <w:jc w:val="both"/>
        <w:rPr>
          <w:rFonts w:ascii="Times New Roman" w:eastAsia="Times New Roman" w:hAnsi="Times New Roman" w:cs="Times New Roman"/>
          <w:sz w:val="20"/>
          <w:szCs w:val="20"/>
        </w:rPr>
      </w:pPr>
      <w:r w:rsidRPr="004701B8">
        <w:rPr>
          <w:rFonts w:ascii="Times New Roman" w:eastAsia="Times New Roman" w:hAnsi="Times New Roman" w:cs="Times New Roman"/>
          <w:sz w:val="20"/>
          <w:szCs w:val="20"/>
        </w:rPr>
        <w:t>[</w:t>
      </w:r>
      <w:r w:rsidRPr="004701B8">
        <w:rPr>
          <w:rFonts w:ascii="Times New Roman" w:eastAsia="Times New Roman" w:hAnsi="Times New Roman" w:cs="Times New Roman"/>
          <w:sz w:val="20"/>
          <w:szCs w:val="20"/>
        </w:rPr>
        <w:sym w:font="Webdings" w:char="F03D"/>
      </w:r>
      <w:r w:rsidRPr="004701B8">
        <w:rPr>
          <w:rFonts w:ascii="Times New Roman" w:eastAsia="Times New Roman" w:hAnsi="Times New Roman" w:cs="Times New Roman"/>
          <w:sz w:val="20"/>
          <w:szCs w:val="20"/>
        </w:rPr>
        <w:t>]</w:t>
      </w:r>
    </w:p>
    <w:p w14:paraId="07064414" w14:textId="77777777" w:rsidR="001B5924" w:rsidRDefault="001B5924" w:rsidP="00047641">
      <w:pPr>
        <w:spacing w:line="360" w:lineRule="auto"/>
        <w:ind w:right="142"/>
        <w:jc w:val="both"/>
        <w:rPr>
          <w:rFonts w:ascii="Times New Roman" w:eastAsia="Times New Roman" w:hAnsi="Times New Roman" w:cs="Times New Roman"/>
          <w:b/>
          <w:bCs/>
          <w:smallCaps/>
          <w:sz w:val="20"/>
          <w:szCs w:val="20"/>
        </w:rPr>
      </w:pPr>
    </w:p>
    <w:p w14:paraId="3EA3CE95" w14:textId="77777777" w:rsidR="001B5924" w:rsidRDefault="001B5924" w:rsidP="00047641">
      <w:pPr>
        <w:spacing w:line="360" w:lineRule="auto"/>
        <w:ind w:right="142"/>
        <w:jc w:val="both"/>
        <w:rPr>
          <w:rFonts w:ascii="Times New Roman" w:eastAsia="Times New Roman" w:hAnsi="Times New Roman" w:cs="Times New Roman"/>
          <w:b/>
          <w:bCs/>
          <w:smallCaps/>
          <w:sz w:val="20"/>
          <w:szCs w:val="20"/>
        </w:rPr>
      </w:pPr>
    </w:p>
    <w:p w14:paraId="013CFD0B" w14:textId="77777777" w:rsidR="001B5924" w:rsidRPr="00C019B2" w:rsidRDefault="001B5924" w:rsidP="00047641">
      <w:pPr>
        <w:spacing w:line="360" w:lineRule="auto"/>
        <w:ind w:right="142"/>
        <w:jc w:val="both"/>
        <w:rPr>
          <w:rFonts w:ascii="Times New Roman" w:eastAsia="Times New Roman" w:hAnsi="Times New Roman" w:cs="Times New Roman"/>
          <w:b/>
          <w:bCs/>
          <w:smallCaps/>
          <w:sz w:val="22"/>
          <w:szCs w:val="22"/>
        </w:rPr>
      </w:pPr>
    </w:p>
    <w:p w14:paraId="7B08055E" w14:textId="2D39108F" w:rsidR="00047641" w:rsidRPr="00F001EF" w:rsidRDefault="00047641" w:rsidP="00F001EF">
      <w:pPr>
        <w:spacing w:line="360" w:lineRule="auto"/>
        <w:ind w:right="142"/>
        <w:jc w:val="both"/>
        <w:rPr>
          <w:rFonts w:ascii="Times New Roman" w:eastAsia="Times New Roman" w:hAnsi="Times New Roman" w:cs="Times New Roman"/>
          <w:b/>
          <w:bCs/>
          <w:smallCaps/>
          <w:u w:val="single"/>
        </w:rPr>
      </w:pPr>
      <w:r w:rsidRPr="00F001EF">
        <w:rPr>
          <w:rFonts w:ascii="Times New Roman" w:eastAsia="Times New Roman" w:hAnsi="Times New Roman" w:cs="Times New Roman"/>
          <w:b/>
          <w:bCs/>
          <w:smallCaps/>
        </w:rPr>
        <w:t>PROPOSTA DI CONTRATTO PER LA PRESTAZIONE DEI SERVIZI DI NEGOZIAZIONE PER CONTO PROPRIO, ESECUZIONE DI ORDINI PER CONTO DEI CLIENTI, RICEZIONE E TRASMISSIONE DI ORDINI A CONTROPARTI QUALIFICATE (</w:t>
      </w:r>
      <w:r w:rsidRPr="00F001EF">
        <w:rPr>
          <w:rFonts w:ascii="Times New Roman" w:eastAsia="Times New Roman" w:hAnsi="Times New Roman" w:cs="Times New Roman"/>
          <w:b/>
          <w:bCs/>
          <w:smallCaps/>
          <w:vertAlign w:val="superscript"/>
        </w:rPr>
        <w:footnoteReference w:id="2"/>
      </w:r>
      <w:r w:rsidRPr="00F001EF">
        <w:rPr>
          <w:rFonts w:ascii="Times New Roman" w:eastAsia="Times New Roman" w:hAnsi="Times New Roman" w:cs="Times New Roman"/>
          <w:b/>
          <w:bCs/>
          <w:smallCaps/>
        </w:rPr>
        <w:t>)</w:t>
      </w:r>
    </w:p>
    <w:p w14:paraId="0F0F8050" w14:textId="77777777" w:rsidR="00047641" w:rsidRDefault="00047641" w:rsidP="00047641">
      <w:pPr>
        <w:ind w:right="141"/>
        <w:rPr>
          <w:rFonts w:ascii="Times New Roman" w:eastAsia="Times New Roman" w:hAnsi="Times New Roman" w:cs="Times New Roman"/>
          <w:b/>
          <w:sz w:val="20"/>
          <w:szCs w:val="20"/>
        </w:rPr>
      </w:pPr>
    </w:p>
    <w:p w14:paraId="41A4F870" w14:textId="77777777" w:rsidR="00C019B2" w:rsidRDefault="00C019B2" w:rsidP="00047641">
      <w:pPr>
        <w:ind w:right="141"/>
        <w:rPr>
          <w:rFonts w:ascii="Times New Roman" w:eastAsia="Times New Roman" w:hAnsi="Times New Roman" w:cs="Times New Roman"/>
          <w:b/>
          <w:sz w:val="20"/>
          <w:szCs w:val="20"/>
        </w:rPr>
      </w:pPr>
    </w:p>
    <w:p w14:paraId="5A468DC0" w14:textId="77777777" w:rsidR="00CB38AB" w:rsidRPr="00047641" w:rsidRDefault="00CB38AB" w:rsidP="00047641">
      <w:pPr>
        <w:ind w:right="141"/>
        <w:rPr>
          <w:rFonts w:ascii="Times New Roman" w:eastAsia="Times New Roman" w:hAnsi="Times New Roman" w:cs="Times New Roman"/>
          <w:b/>
          <w:sz w:val="20"/>
          <w:szCs w:val="20"/>
        </w:rPr>
      </w:pPr>
    </w:p>
    <w:p w14:paraId="60BA4777" w14:textId="77777777" w:rsidR="00047641" w:rsidRPr="00047641" w:rsidRDefault="00047641" w:rsidP="00047641">
      <w:pPr>
        <w:tabs>
          <w:tab w:val="center" w:pos="4182"/>
        </w:tabs>
        <w:ind w:right="141"/>
        <w:rPr>
          <w:rFonts w:ascii="Times New Roman" w:eastAsia="Times New Roman" w:hAnsi="Times New Roman" w:cs="Times New Roman"/>
          <w:b/>
          <w:sz w:val="20"/>
          <w:szCs w:val="20"/>
          <w:u w:val="single"/>
        </w:rPr>
      </w:pPr>
      <w:r w:rsidRPr="00047641">
        <w:rPr>
          <w:rFonts w:ascii="Times New Roman" w:eastAsia="Times New Roman" w:hAnsi="Times New Roman" w:cs="Times New Roman"/>
          <w:b/>
          <w:noProof/>
          <w:sz w:val="20"/>
          <w:szCs w:val="20"/>
          <w:u w:val="single"/>
        </w:rPr>
        <mc:AlternateContent>
          <mc:Choice Requires="wps">
            <w:drawing>
              <wp:anchor distT="0" distB="0" distL="114300" distR="114300" simplePos="0" relativeHeight="251659264" behindDoc="0" locked="0" layoutInCell="1" allowOverlap="1" wp14:anchorId="66B2C809" wp14:editId="73B0E1A0">
                <wp:simplePos x="0" y="0"/>
                <wp:positionH relativeFrom="column">
                  <wp:posOffset>25400</wp:posOffset>
                </wp:positionH>
                <wp:positionV relativeFrom="paragraph">
                  <wp:posOffset>-50165</wp:posOffset>
                </wp:positionV>
                <wp:extent cx="5257800" cy="514350"/>
                <wp:effectExtent l="10160" t="7620" r="8890" b="1143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14350"/>
                        </a:xfrm>
                        <a:prstGeom prst="rect">
                          <a:avLst/>
                        </a:prstGeom>
                        <a:solidFill>
                          <a:srgbClr val="FFFFFF"/>
                        </a:solidFill>
                        <a:ln w="9525">
                          <a:solidFill>
                            <a:srgbClr val="000000"/>
                          </a:solidFill>
                          <a:miter lim="800000"/>
                          <a:headEnd/>
                          <a:tailEnd/>
                        </a:ln>
                      </wps:spPr>
                      <wps:txbx>
                        <w:txbxContent>
                          <w:p w14:paraId="7318503A" w14:textId="77777777" w:rsidR="00623F1E" w:rsidRPr="00047641" w:rsidRDefault="00623F1E" w:rsidP="00047641">
                            <w:pPr>
                              <w:jc w:val="both"/>
                              <w:rPr>
                                <w:rFonts w:ascii="Times New Roman" w:hAnsi="Times New Roman" w:cs="Times New Roman"/>
                                <w:i/>
                                <w:sz w:val="20"/>
                                <w:szCs w:val="20"/>
                              </w:rPr>
                            </w:pPr>
                            <w:r w:rsidRPr="00047641">
                              <w:rPr>
                                <w:rFonts w:ascii="Times New Roman" w:hAnsi="Times New Roman" w:cs="Times New Roman"/>
                                <w:i/>
                                <w:sz w:val="20"/>
                                <w:szCs w:val="20"/>
                              </w:rPr>
                              <w:t>Inserire anagrafica e dati identificativi del cliente</w:t>
                            </w:r>
                          </w:p>
                          <w:p w14:paraId="06CAAA59" w14:textId="77777777" w:rsidR="00623F1E" w:rsidRPr="00047641" w:rsidRDefault="00623F1E" w:rsidP="00047641">
                            <w:pPr>
                              <w:jc w:val="both"/>
                              <w:rPr>
                                <w:rFonts w:ascii="Times New Roman" w:hAnsi="Times New Roman" w:cs="Times New Roman"/>
                                <w:b/>
                                <w:i/>
                                <w:sz w:val="20"/>
                                <w:szCs w:val="20"/>
                              </w:rPr>
                            </w:pPr>
                            <w:r w:rsidRPr="00047641">
                              <w:rPr>
                                <w:rFonts w:ascii="Times New Roman" w:hAnsi="Times New Roman" w:cs="Times New Roman"/>
                                <w:i/>
                                <w:sz w:val="20"/>
                                <w:szCs w:val="20"/>
                              </w:rPr>
                              <w:t>CODICE LEI</w:t>
                            </w:r>
                          </w:p>
                          <w:p w14:paraId="27F5D3C1" w14:textId="77777777" w:rsidR="00623F1E" w:rsidRDefault="00623F1E" w:rsidP="00047641">
                            <w:pPr>
                              <w:jc w:val="center"/>
                              <w:rPr>
                                <w:b/>
                              </w:rPr>
                            </w:pPr>
                          </w:p>
                          <w:p w14:paraId="1CC9482A" w14:textId="77777777" w:rsidR="00623F1E" w:rsidRDefault="00623F1E" w:rsidP="0004764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2C809" id="_x0000_t202" coordsize="21600,21600" o:spt="202" path="m,l,21600r21600,l21600,xe">
                <v:stroke joinstyle="miter"/>
                <v:path gradientshapeok="t" o:connecttype="rect"/>
              </v:shapetype>
              <v:shape id="Casella di testo 2" o:spid="_x0000_s1026" type="#_x0000_t202" style="position:absolute;margin-left:2pt;margin-top:-3.95pt;width:414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">
                <v:textbox>
                  <w:txbxContent>
                    <w:p w14:paraId="7318503A" w14:textId="77777777" w:rsidR="00623F1E" w:rsidRPr="00047641" w:rsidRDefault="00623F1E" w:rsidP="00047641">
                      <w:pPr>
                        <w:jc w:val="both"/>
                        <w:rPr>
                          <w:rFonts w:ascii="Times New Roman" w:hAnsi="Times New Roman" w:cs="Times New Roman"/>
                          <w:i/>
                          <w:sz w:val="20"/>
                          <w:szCs w:val="20"/>
                        </w:rPr>
                      </w:pPr>
                      <w:r w:rsidRPr="00047641">
                        <w:rPr>
                          <w:rFonts w:ascii="Times New Roman" w:hAnsi="Times New Roman" w:cs="Times New Roman"/>
                          <w:i/>
                          <w:sz w:val="20"/>
                          <w:szCs w:val="20"/>
                        </w:rPr>
                        <w:t>Inserire anagrafica e dati identificativi del cliente</w:t>
                      </w:r>
                    </w:p>
                    <w:p w14:paraId="06CAAA59" w14:textId="77777777" w:rsidR="00623F1E" w:rsidRPr="00047641" w:rsidRDefault="00623F1E" w:rsidP="00047641">
                      <w:pPr>
                        <w:jc w:val="both"/>
                        <w:rPr>
                          <w:rFonts w:ascii="Times New Roman" w:hAnsi="Times New Roman" w:cs="Times New Roman"/>
                          <w:b/>
                          <w:i/>
                          <w:sz w:val="20"/>
                          <w:szCs w:val="20"/>
                        </w:rPr>
                      </w:pPr>
                      <w:r w:rsidRPr="00047641">
                        <w:rPr>
                          <w:rFonts w:ascii="Times New Roman" w:hAnsi="Times New Roman" w:cs="Times New Roman"/>
                          <w:i/>
                          <w:sz w:val="20"/>
                          <w:szCs w:val="20"/>
                        </w:rPr>
                        <w:t>CODICE LEI</w:t>
                      </w:r>
                    </w:p>
                    <w:p w14:paraId="27F5D3C1" w14:textId="77777777" w:rsidR="00623F1E" w:rsidRDefault="00623F1E" w:rsidP="00047641">
                      <w:pPr>
                        <w:jc w:val="center"/>
                        <w:rPr>
                          <w:b/>
                        </w:rPr>
                      </w:pPr>
                    </w:p>
                    <w:p w14:paraId="1CC9482A" w14:textId="77777777" w:rsidR="00623F1E" w:rsidRDefault="00623F1E" w:rsidP="00047641">
                      <w:pPr>
                        <w:jc w:val="center"/>
                        <w:rPr>
                          <w:b/>
                        </w:rPr>
                      </w:pPr>
                    </w:p>
                  </w:txbxContent>
                </v:textbox>
              </v:shape>
            </w:pict>
          </mc:Fallback>
        </mc:AlternateContent>
      </w:r>
    </w:p>
    <w:p w14:paraId="6554883B" w14:textId="77777777" w:rsidR="00047641" w:rsidRPr="00047641" w:rsidRDefault="00047641" w:rsidP="00047641">
      <w:pPr>
        <w:tabs>
          <w:tab w:val="center" w:pos="4182"/>
        </w:tabs>
        <w:ind w:right="141"/>
        <w:rPr>
          <w:rFonts w:ascii="Times New Roman" w:eastAsia="Times New Roman" w:hAnsi="Times New Roman" w:cs="Times New Roman"/>
          <w:b/>
          <w:sz w:val="20"/>
          <w:szCs w:val="20"/>
          <w:u w:val="single"/>
        </w:rPr>
      </w:pPr>
    </w:p>
    <w:p w14:paraId="76FB1DC4" w14:textId="77777777" w:rsidR="00047641" w:rsidRPr="00047641" w:rsidRDefault="00047641" w:rsidP="00047641">
      <w:pPr>
        <w:tabs>
          <w:tab w:val="center" w:pos="4182"/>
        </w:tabs>
        <w:ind w:right="141"/>
        <w:rPr>
          <w:rFonts w:ascii="Times New Roman" w:eastAsia="Times New Roman" w:hAnsi="Times New Roman" w:cs="Times New Roman"/>
          <w:b/>
          <w:sz w:val="20"/>
          <w:szCs w:val="20"/>
          <w:u w:val="single"/>
        </w:rPr>
      </w:pPr>
    </w:p>
    <w:p w14:paraId="1AB1DC58" w14:textId="77777777" w:rsidR="00047641" w:rsidRPr="00047641" w:rsidRDefault="00047641" w:rsidP="00047641">
      <w:pPr>
        <w:ind w:right="141"/>
        <w:rPr>
          <w:rFonts w:ascii="Times New Roman" w:eastAsia="Times New Roman" w:hAnsi="Times New Roman" w:cs="Times New Roman"/>
          <w:sz w:val="20"/>
          <w:szCs w:val="20"/>
        </w:rPr>
      </w:pPr>
    </w:p>
    <w:p w14:paraId="345EE46D" w14:textId="77777777" w:rsidR="00047641" w:rsidRPr="00047641" w:rsidRDefault="00047641" w:rsidP="00047641">
      <w:pPr>
        <w:ind w:right="141"/>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di seguito definito il “Cliente”</w:t>
      </w:r>
    </w:p>
    <w:p w14:paraId="376DF5E0" w14:textId="77777777" w:rsidR="00047641" w:rsidRPr="00047641" w:rsidRDefault="00047641" w:rsidP="00047641">
      <w:pPr>
        <w:ind w:right="141"/>
        <w:rPr>
          <w:rFonts w:ascii="Times New Roman" w:eastAsia="Times New Roman" w:hAnsi="Times New Roman" w:cs="Times New Roman"/>
          <w:b/>
          <w:sz w:val="20"/>
          <w:szCs w:val="20"/>
        </w:rPr>
      </w:pPr>
    </w:p>
    <w:p w14:paraId="107E68C5" w14:textId="77777777" w:rsidR="00047641" w:rsidRPr="00047641" w:rsidRDefault="00047641" w:rsidP="00047641">
      <w:pPr>
        <w:ind w:right="141"/>
        <w:rPr>
          <w:rFonts w:ascii="Times New Roman" w:eastAsia="Times New Roman" w:hAnsi="Times New Roman" w:cs="Times New Roman"/>
          <w:b/>
          <w:sz w:val="20"/>
          <w:szCs w:val="20"/>
        </w:rPr>
      </w:pPr>
    </w:p>
    <w:p w14:paraId="5C86119A" w14:textId="77777777" w:rsidR="00047641" w:rsidRPr="00047641" w:rsidRDefault="00047641" w:rsidP="00047641">
      <w:pPr>
        <w:ind w:right="141"/>
        <w:rPr>
          <w:rFonts w:ascii="Times New Roman" w:eastAsia="Times New Roman" w:hAnsi="Times New Roman" w:cs="Times New Roman"/>
          <w:b/>
          <w:sz w:val="20"/>
          <w:szCs w:val="20"/>
        </w:rPr>
      </w:pPr>
    </w:p>
    <w:p w14:paraId="1E5E1817" w14:textId="77777777" w:rsidR="00047641" w:rsidRPr="00047641" w:rsidRDefault="00047641" w:rsidP="00047641">
      <w:pPr>
        <w:keepNext/>
        <w:ind w:right="141"/>
        <w:jc w:val="center"/>
        <w:outlineLvl w:val="4"/>
        <w:rPr>
          <w:rFonts w:ascii="Times New Roman" w:eastAsia="Times New Roman" w:hAnsi="Times New Roman" w:cs="Times New Roman"/>
          <w:b/>
          <w:sz w:val="20"/>
          <w:szCs w:val="20"/>
        </w:rPr>
      </w:pPr>
      <w:r w:rsidRPr="00047641">
        <w:rPr>
          <w:rFonts w:ascii="Times New Roman" w:eastAsia="Times New Roman" w:hAnsi="Times New Roman" w:cs="Times New Roman"/>
          <w:b/>
          <w:sz w:val="20"/>
          <w:szCs w:val="20"/>
        </w:rPr>
        <w:t>PREMESSO CHE:</w:t>
      </w:r>
    </w:p>
    <w:p w14:paraId="1ACEE75A" w14:textId="77777777" w:rsidR="00047641" w:rsidRPr="00047641" w:rsidRDefault="00047641" w:rsidP="00047641">
      <w:pPr>
        <w:ind w:right="141"/>
        <w:jc w:val="both"/>
        <w:rPr>
          <w:rFonts w:ascii="Times New Roman" w:eastAsia="Times New Roman" w:hAnsi="Times New Roman" w:cs="Times New Roman"/>
          <w:sz w:val="20"/>
          <w:szCs w:val="20"/>
        </w:rPr>
      </w:pPr>
    </w:p>
    <w:p w14:paraId="0E8E15A1" w14:textId="77777777" w:rsidR="00047641" w:rsidRPr="00047641" w:rsidRDefault="00047641" w:rsidP="00047641">
      <w:pPr>
        <w:numPr>
          <w:ilvl w:val="0"/>
          <w:numId w:val="20"/>
        </w:num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Il Cliente è stato classificato come controparte qualificata (</w:t>
      </w:r>
      <w:r w:rsidRPr="00047641">
        <w:rPr>
          <w:rFonts w:ascii="Times New Roman" w:eastAsia="Times New Roman" w:hAnsi="Times New Roman" w:cs="Times New Roman"/>
          <w:sz w:val="20"/>
          <w:szCs w:val="20"/>
          <w:vertAlign w:val="superscript"/>
        </w:rPr>
        <w:footnoteReference w:id="3"/>
      </w:r>
      <w:r w:rsidRPr="00047641">
        <w:rPr>
          <w:rFonts w:ascii="Times New Roman" w:eastAsia="Times New Roman" w:hAnsi="Times New Roman" w:cs="Times New Roman"/>
          <w:sz w:val="20"/>
          <w:szCs w:val="20"/>
        </w:rPr>
        <w:t xml:space="preserve">) </w:t>
      </w:r>
      <w:r w:rsidRPr="00047641">
        <w:rPr>
          <w:rFonts w:ascii="Times New Roman" w:eastAsia="Times New Roman" w:hAnsi="Times New Roman" w:cs="Times New Roman"/>
          <w:b/>
          <w:sz w:val="20"/>
          <w:szCs w:val="20"/>
        </w:rPr>
        <w:t xml:space="preserve">oppure </w:t>
      </w:r>
      <w:r w:rsidRPr="00047641">
        <w:rPr>
          <w:rFonts w:ascii="Times New Roman" w:eastAsia="Times New Roman" w:hAnsi="Times New Roman" w:cs="Times New Roman"/>
          <w:sz w:val="20"/>
          <w:szCs w:val="20"/>
        </w:rPr>
        <w:t>il Cliente</w:t>
      </w:r>
      <w:r w:rsidRPr="00047641">
        <w:rPr>
          <w:rFonts w:ascii="Times New Roman" w:eastAsia="Times New Roman" w:hAnsi="Times New Roman" w:cs="Times New Roman"/>
          <w:b/>
          <w:sz w:val="20"/>
          <w:szCs w:val="20"/>
        </w:rPr>
        <w:t xml:space="preserve"> </w:t>
      </w:r>
      <w:r w:rsidRPr="00047641">
        <w:rPr>
          <w:rFonts w:ascii="Times New Roman" w:eastAsia="Times New Roman" w:hAnsi="Times New Roman" w:cs="Times New Roman"/>
          <w:sz w:val="20"/>
          <w:szCs w:val="20"/>
        </w:rPr>
        <w:t>ha richiesto espressamente (per iscritto) di essere considerato controparte qualificata ed ha dichiarato di essere stato informato (per iscritto) e di essere consapevole delle conseguenze cui si espone con la suddetta richiesta, incluse le protezioni che potrebbe perdere. Il Cliente ha quindi confermato espressamente (per iscritto) di essere trattato come controparte qualificata (</w:t>
      </w:r>
      <w:r w:rsidRPr="00047641">
        <w:rPr>
          <w:rFonts w:ascii="Times New Roman" w:eastAsia="Times New Roman" w:hAnsi="Times New Roman" w:cs="Times New Roman"/>
          <w:sz w:val="20"/>
          <w:szCs w:val="20"/>
          <w:vertAlign w:val="superscript"/>
        </w:rPr>
        <w:footnoteReference w:id="4"/>
      </w:r>
      <w:r w:rsidRPr="00047641">
        <w:rPr>
          <w:rFonts w:ascii="Times New Roman" w:eastAsia="Times New Roman" w:hAnsi="Times New Roman" w:cs="Times New Roman"/>
          <w:sz w:val="20"/>
          <w:szCs w:val="20"/>
        </w:rPr>
        <w:t>).</w:t>
      </w:r>
    </w:p>
    <w:p w14:paraId="7BE08239" w14:textId="77777777" w:rsidR="00047641" w:rsidRPr="00047641" w:rsidRDefault="00047641" w:rsidP="00047641">
      <w:pPr>
        <w:ind w:right="141"/>
        <w:jc w:val="both"/>
        <w:rPr>
          <w:rFonts w:ascii="Times New Roman" w:eastAsia="Times New Roman" w:hAnsi="Times New Roman" w:cs="Times New Roman"/>
          <w:sz w:val="20"/>
          <w:szCs w:val="20"/>
        </w:rPr>
      </w:pPr>
    </w:p>
    <w:p w14:paraId="6EF0C282" w14:textId="585390AC" w:rsidR="00047641" w:rsidRDefault="00047641" w:rsidP="00047641">
      <w:pPr>
        <w:numPr>
          <w:ilvl w:val="0"/>
          <w:numId w:val="20"/>
        </w:num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Il Cliente ha esaminato, compreso e accettato i termini del contratto e ha ricevuto, letto e compreso</w:t>
      </w:r>
      <w:r w:rsidR="007925DD">
        <w:rPr>
          <w:rFonts w:ascii="Times New Roman" w:eastAsia="Times New Roman" w:hAnsi="Times New Roman" w:cs="Times New Roman"/>
          <w:sz w:val="20"/>
          <w:szCs w:val="20"/>
        </w:rPr>
        <w:t xml:space="preserve"> </w:t>
      </w:r>
      <w:r w:rsidRPr="00047641">
        <w:rPr>
          <w:rFonts w:ascii="Times New Roman" w:eastAsia="Times New Roman" w:hAnsi="Times New Roman" w:cs="Times New Roman"/>
          <w:sz w:val="20"/>
          <w:szCs w:val="20"/>
        </w:rPr>
        <w:t>(</w:t>
      </w:r>
      <w:r w:rsidRPr="00047641">
        <w:rPr>
          <w:rFonts w:ascii="Times New Roman" w:eastAsia="Times New Roman" w:hAnsi="Times New Roman" w:cs="Times New Roman"/>
          <w:sz w:val="20"/>
          <w:szCs w:val="20"/>
          <w:vertAlign w:val="superscript"/>
        </w:rPr>
        <w:footnoteReference w:id="5"/>
      </w:r>
      <w:r w:rsidRPr="00047641">
        <w:rPr>
          <w:rFonts w:ascii="Times New Roman" w:eastAsia="Times New Roman" w:hAnsi="Times New Roman" w:cs="Times New Roman"/>
          <w:sz w:val="20"/>
          <w:szCs w:val="20"/>
        </w:rPr>
        <w:t>); (i) la sintesi della politica adottata dalla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per la gestione dei conflitti di interesse; (ii) le Condizioni di prestazione dei Servizi (</w:t>
      </w:r>
      <w:r w:rsidRPr="00047641">
        <w:rPr>
          <w:rFonts w:ascii="Times New Roman" w:eastAsia="Times New Roman" w:hAnsi="Times New Roman" w:cs="Times New Roman"/>
          <w:sz w:val="20"/>
          <w:szCs w:val="20"/>
          <w:vertAlign w:val="superscript"/>
        </w:rPr>
        <w:footnoteReference w:id="6"/>
      </w:r>
      <w:r w:rsidRPr="00047641">
        <w:rPr>
          <w:rFonts w:ascii="Times New Roman" w:eastAsia="Times New Roman" w:hAnsi="Times New Roman" w:cs="Times New Roman"/>
          <w:sz w:val="20"/>
          <w:szCs w:val="20"/>
        </w:rPr>
        <w:t xml:space="preserve">). </w:t>
      </w:r>
    </w:p>
    <w:p w14:paraId="37B76256" w14:textId="34BE6323" w:rsidR="006B6513" w:rsidRPr="00047641" w:rsidRDefault="006B6513" w:rsidP="00047641">
      <w:pPr>
        <w:numPr>
          <w:ilvl w:val="0"/>
          <w:numId w:val="20"/>
        </w:numPr>
        <w:ind w:righ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Cliente ha preso atto che tutte le comunicazioni relative alla prestazione dei Servizi verranno fornite dalla </w:t>
      </w:r>
      <w:r w:rsidRPr="00047641">
        <w:rPr>
          <w:rFonts w:ascii="Times New Roman" w:eastAsia="Times New Roman" w:hAnsi="Times New Roman" w:cs="Times New Roman"/>
          <w:sz w:val="20"/>
          <w:szCs w:val="20"/>
        </w:rPr>
        <w:t>[</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formato elettronico.</w:t>
      </w:r>
    </w:p>
    <w:p w14:paraId="2562F488" w14:textId="77777777" w:rsidR="00047641" w:rsidRPr="00047641" w:rsidRDefault="00047641" w:rsidP="00047641">
      <w:pPr>
        <w:ind w:right="141"/>
        <w:jc w:val="both"/>
        <w:rPr>
          <w:rFonts w:ascii="Times New Roman" w:eastAsia="Times New Roman" w:hAnsi="Times New Roman" w:cs="Times New Roman"/>
          <w:sz w:val="20"/>
          <w:szCs w:val="20"/>
        </w:rPr>
      </w:pPr>
    </w:p>
    <w:p w14:paraId="06CFA856" w14:textId="77777777" w:rsidR="00047641" w:rsidRPr="00047641" w:rsidRDefault="00047641" w:rsidP="00047641">
      <w:pPr>
        <w:ind w:left="705" w:right="141"/>
        <w:jc w:val="both"/>
        <w:rPr>
          <w:rFonts w:ascii="Times New Roman" w:eastAsia="Times New Roman" w:hAnsi="Times New Roman" w:cs="Times New Roman"/>
          <w:sz w:val="20"/>
          <w:szCs w:val="20"/>
        </w:rPr>
      </w:pPr>
    </w:p>
    <w:p w14:paraId="4023E682" w14:textId="77777777" w:rsidR="00047641" w:rsidRPr="00047641" w:rsidRDefault="00047641" w:rsidP="006B6513">
      <w:pPr>
        <w:ind w:right="141"/>
        <w:rPr>
          <w:rFonts w:ascii="Times New Roman" w:eastAsia="Times New Roman" w:hAnsi="Times New Roman" w:cs="Times New Roman"/>
          <w:b/>
          <w:sz w:val="20"/>
          <w:szCs w:val="20"/>
        </w:rPr>
      </w:pPr>
    </w:p>
    <w:p w14:paraId="3C4ED5F4" w14:textId="77777777" w:rsidR="00047641" w:rsidRPr="00047641" w:rsidRDefault="00047641" w:rsidP="00047641">
      <w:pPr>
        <w:ind w:right="141"/>
        <w:jc w:val="center"/>
        <w:rPr>
          <w:rFonts w:ascii="Times New Roman" w:eastAsia="Times New Roman" w:hAnsi="Times New Roman" w:cs="Times New Roman"/>
          <w:b/>
          <w:sz w:val="20"/>
          <w:szCs w:val="20"/>
        </w:rPr>
      </w:pPr>
      <w:r w:rsidRPr="00047641">
        <w:rPr>
          <w:rFonts w:ascii="Times New Roman" w:eastAsia="Times New Roman" w:hAnsi="Times New Roman" w:cs="Times New Roman"/>
          <w:b/>
          <w:sz w:val="20"/>
          <w:szCs w:val="20"/>
        </w:rPr>
        <w:t>TUTTO CIÒ PREMESSO,</w:t>
      </w:r>
    </w:p>
    <w:p w14:paraId="3772CB7B" w14:textId="77777777" w:rsidR="00047641" w:rsidRPr="00047641" w:rsidRDefault="00047641" w:rsidP="00047641">
      <w:pPr>
        <w:ind w:right="141"/>
        <w:jc w:val="both"/>
        <w:rPr>
          <w:rFonts w:ascii="Times New Roman" w:eastAsia="Times New Roman" w:hAnsi="Times New Roman" w:cs="Times New Roman"/>
          <w:sz w:val="20"/>
          <w:szCs w:val="20"/>
        </w:rPr>
      </w:pPr>
    </w:p>
    <w:p w14:paraId="49F4FF5B" w14:textId="49F8AAEA"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il Cliente conferisce alla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l’incarico di svolgere in suo favore i servizi di investimento di negoziazione per conto proprio, esecuzione di ordini per conto dei clienti, ricezione e trasmissione di ordini, nei termini e alle condizioni che seguono</w:t>
      </w:r>
      <w:r w:rsidR="00293511">
        <w:rPr>
          <w:rFonts w:ascii="Times New Roman" w:eastAsia="Times New Roman" w:hAnsi="Times New Roman" w:cs="Times New Roman"/>
          <w:sz w:val="20"/>
          <w:szCs w:val="20"/>
        </w:rPr>
        <w:t xml:space="preserve"> (</w:t>
      </w:r>
      <w:r w:rsidR="00293511">
        <w:rPr>
          <w:rStyle w:val="Rimandonotaapidipagina"/>
          <w:rFonts w:ascii="Times New Roman" w:eastAsia="Times New Roman" w:hAnsi="Times New Roman" w:cs="Times New Roman"/>
          <w:sz w:val="20"/>
          <w:szCs w:val="20"/>
        </w:rPr>
        <w:footnoteReference w:id="7"/>
      </w:r>
      <w:r w:rsidR="00293511">
        <w:rPr>
          <w:rFonts w:ascii="Times New Roman" w:eastAsia="Times New Roman" w:hAnsi="Times New Roman" w:cs="Times New Roman"/>
          <w:sz w:val="20"/>
          <w:szCs w:val="20"/>
        </w:rPr>
        <w:t>)</w:t>
      </w:r>
      <w:r w:rsidRPr="00047641">
        <w:rPr>
          <w:rFonts w:ascii="Times New Roman" w:eastAsia="Times New Roman" w:hAnsi="Times New Roman" w:cs="Times New Roman"/>
          <w:sz w:val="20"/>
          <w:szCs w:val="20"/>
        </w:rPr>
        <w:t>. Nella prestazione dei servizi, il Cliente autorizza 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ad agire in nome proprio e per conto del Cliente.</w:t>
      </w:r>
    </w:p>
    <w:p w14:paraId="56F51F72" w14:textId="77777777" w:rsidR="00047641" w:rsidRPr="00047641" w:rsidRDefault="00047641" w:rsidP="00047641">
      <w:pPr>
        <w:ind w:right="141"/>
        <w:jc w:val="center"/>
        <w:rPr>
          <w:rFonts w:ascii="Times New Roman" w:eastAsia="Times New Roman" w:hAnsi="Times New Roman" w:cs="Times New Roman"/>
          <w:b/>
          <w:sz w:val="20"/>
          <w:szCs w:val="20"/>
          <w:u w:val="single"/>
        </w:rPr>
      </w:pPr>
    </w:p>
    <w:p w14:paraId="14C44D01" w14:textId="77777777" w:rsidR="00047641" w:rsidRPr="00047641" w:rsidRDefault="00047641" w:rsidP="00047641">
      <w:pPr>
        <w:ind w:right="141"/>
        <w:jc w:val="both"/>
        <w:rPr>
          <w:rFonts w:ascii="Times New Roman" w:eastAsia="Times New Roman" w:hAnsi="Times New Roman" w:cs="Times New Roman"/>
          <w:sz w:val="20"/>
          <w:szCs w:val="20"/>
        </w:rPr>
      </w:pPr>
    </w:p>
    <w:p w14:paraId="49CAEB1E" w14:textId="77777777" w:rsidR="00047641" w:rsidRPr="00047641" w:rsidRDefault="00047641" w:rsidP="00047641">
      <w:pPr>
        <w:numPr>
          <w:ilvl w:val="0"/>
          <w:numId w:val="21"/>
        </w:numPr>
        <w:ind w:right="141" w:hanging="720"/>
        <w:jc w:val="both"/>
        <w:rPr>
          <w:rFonts w:ascii="Times New Roman" w:eastAsia="Times New Roman" w:hAnsi="Times New Roman" w:cs="Times New Roman"/>
          <w:sz w:val="20"/>
          <w:szCs w:val="20"/>
        </w:rPr>
      </w:pPr>
      <w:r w:rsidRPr="00047641">
        <w:rPr>
          <w:rFonts w:ascii="Times New Roman" w:eastAsia="Times New Roman" w:hAnsi="Times New Roman" w:cs="Times New Roman"/>
          <w:b/>
          <w:sz w:val="20"/>
          <w:szCs w:val="20"/>
        </w:rPr>
        <w:t>Premesse e allegati</w:t>
      </w:r>
    </w:p>
    <w:p w14:paraId="08AAA9E1" w14:textId="77777777" w:rsidR="00047641" w:rsidRPr="00047641" w:rsidRDefault="00047641" w:rsidP="00047641">
      <w:pPr>
        <w:ind w:right="141"/>
        <w:jc w:val="both"/>
        <w:rPr>
          <w:rFonts w:ascii="Times New Roman" w:eastAsia="Times New Roman" w:hAnsi="Times New Roman" w:cs="Times New Roman"/>
          <w:sz w:val="20"/>
          <w:szCs w:val="20"/>
        </w:rPr>
      </w:pPr>
    </w:p>
    <w:p w14:paraId="1643D743" w14:textId="77777777" w:rsidR="00047641" w:rsidRPr="00047641" w:rsidRDefault="00047641" w:rsidP="00047641">
      <w:pPr>
        <w:ind w:left="705"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Le premesse e gli allegati indicati alla lettera b) delle premesse rappresentano parte integrante e sostanziale del presente accordo.</w:t>
      </w:r>
    </w:p>
    <w:p w14:paraId="43A5D37F" w14:textId="77777777" w:rsidR="00047641" w:rsidRPr="00047641" w:rsidRDefault="00047641" w:rsidP="00047641">
      <w:pPr>
        <w:ind w:left="705" w:right="141"/>
        <w:jc w:val="both"/>
        <w:rPr>
          <w:rFonts w:ascii="Times New Roman" w:eastAsia="Times New Roman" w:hAnsi="Times New Roman" w:cs="Times New Roman"/>
          <w:sz w:val="20"/>
          <w:szCs w:val="20"/>
        </w:rPr>
      </w:pPr>
    </w:p>
    <w:p w14:paraId="4BAF84C8" w14:textId="77777777" w:rsidR="00047641" w:rsidRPr="00047641" w:rsidRDefault="00047641" w:rsidP="00047641">
      <w:pPr>
        <w:numPr>
          <w:ilvl w:val="0"/>
          <w:numId w:val="21"/>
        </w:numPr>
        <w:ind w:right="141" w:hanging="720"/>
        <w:jc w:val="both"/>
        <w:rPr>
          <w:rFonts w:ascii="Times New Roman" w:eastAsia="Times New Roman" w:hAnsi="Times New Roman" w:cs="Times New Roman"/>
          <w:sz w:val="20"/>
          <w:szCs w:val="20"/>
        </w:rPr>
      </w:pPr>
      <w:r w:rsidRPr="00047641">
        <w:rPr>
          <w:rFonts w:ascii="Times New Roman" w:eastAsia="Times New Roman" w:hAnsi="Times New Roman" w:cs="Times New Roman"/>
          <w:b/>
          <w:sz w:val="20"/>
          <w:szCs w:val="20"/>
        </w:rPr>
        <w:t>Conflitti di interesse</w:t>
      </w:r>
    </w:p>
    <w:p w14:paraId="2785B7BC" w14:textId="77777777" w:rsidR="00047641" w:rsidRPr="00047641" w:rsidRDefault="00047641" w:rsidP="00047641">
      <w:pPr>
        <w:keepNext/>
        <w:ind w:right="144"/>
        <w:jc w:val="both"/>
        <w:rPr>
          <w:rFonts w:ascii="Times New Roman" w:eastAsia="Times New Roman" w:hAnsi="Times New Roman" w:cs="Times New Roman"/>
          <w:sz w:val="20"/>
          <w:szCs w:val="20"/>
        </w:rPr>
      </w:pPr>
    </w:p>
    <w:p w14:paraId="4FE68149" w14:textId="77777777" w:rsidR="00047641" w:rsidRPr="00047641" w:rsidRDefault="00047641" w:rsidP="00047641">
      <w:pPr>
        <w:ind w:left="705"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ha adottato misure idonee ad identificare e prevenire o gestire i conflitti di interesse che potrebbero insorgere tra 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xml:space="preserve">], inclusi i dirigenti, i dipendenti e gli agenti collegati o le </w:t>
      </w:r>
      <w:r w:rsidRPr="00047641">
        <w:rPr>
          <w:rFonts w:ascii="Times New Roman" w:eastAsia="Times New Roman" w:hAnsi="Times New Roman" w:cs="Times New Roman"/>
          <w:sz w:val="20"/>
          <w:szCs w:val="20"/>
        </w:rPr>
        <w:lastRenderedPageBreak/>
        <w:t>persone direttamente o indirettamente connesse e il Cliente o tra il Cliente e altri clienti della [</w:t>
      </w:r>
      <w:r w:rsidRPr="00047641">
        <w:rPr>
          <w:rFonts w:ascii="Times New Roman" w:eastAsia="Times New Roman" w:hAnsi="Times New Roman" w:cs="Times New Roman"/>
          <w:i/>
          <w:sz w:val="20"/>
          <w:szCs w:val="20"/>
        </w:rPr>
        <w:t>Banca</w:t>
      </w:r>
      <w:r w:rsidRPr="00047641">
        <w:rPr>
          <w:rFonts w:ascii="Times New Roman" w:eastAsia="Times New Roman" w:hAnsi="Times New Roman" w:cs="Times New Roman"/>
          <w:sz w:val="20"/>
          <w:szCs w:val="20"/>
        </w:rPr>
        <w:t>] al momento della prestazione dei servizi di investimento o accessori o di una combinazione di tali servizi, al fine di evitare che tali conflitti di interesse incidano negativamente sul Cliente (</w:t>
      </w:r>
      <w:r w:rsidRPr="00047641">
        <w:rPr>
          <w:rFonts w:ascii="Times New Roman" w:eastAsia="Times New Roman" w:hAnsi="Times New Roman" w:cs="Times New Roman"/>
          <w:sz w:val="20"/>
          <w:szCs w:val="20"/>
          <w:vertAlign w:val="superscript"/>
        </w:rPr>
        <w:footnoteReference w:id="8"/>
      </w:r>
      <w:r w:rsidRPr="00047641">
        <w:rPr>
          <w:rFonts w:ascii="Times New Roman" w:eastAsia="Times New Roman" w:hAnsi="Times New Roman" w:cs="Times New Roman"/>
          <w:sz w:val="20"/>
          <w:szCs w:val="20"/>
        </w:rPr>
        <w:t>).</w:t>
      </w:r>
    </w:p>
    <w:p w14:paraId="58FAAD20" w14:textId="77777777" w:rsidR="00047641" w:rsidRPr="00047641" w:rsidRDefault="00047641" w:rsidP="00047641">
      <w:pPr>
        <w:ind w:right="141"/>
        <w:jc w:val="both"/>
        <w:rPr>
          <w:rFonts w:ascii="Times New Roman" w:eastAsia="Times New Roman" w:hAnsi="Times New Roman" w:cs="Times New Roman"/>
          <w:sz w:val="20"/>
          <w:szCs w:val="20"/>
        </w:rPr>
      </w:pPr>
    </w:p>
    <w:p w14:paraId="3560090B" w14:textId="2F0946FA" w:rsidR="00047641" w:rsidRPr="00047641" w:rsidRDefault="00047641" w:rsidP="00047641">
      <w:pPr>
        <w:ind w:left="705"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w:t>
      </w:r>
    </w:p>
    <w:p w14:paraId="4047CD3A" w14:textId="77777777" w:rsidR="00047641" w:rsidRPr="00047641" w:rsidRDefault="00047641" w:rsidP="00047641">
      <w:pPr>
        <w:ind w:right="141"/>
        <w:jc w:val="both"/>
        <w:rPr>
          <w:rFonts w:ascii="Times New Roman" w:eastAsia="Times New Roman" w:hAnsi="Times New Roman" w:cs="Times New Roman"/>
          <w:sz w:val="20"/>
          <w:szCs w:val="20"/>
        </w:rPr>
      </w:pPr>
    </w:p>
    <w:p w14:paraId="1D9908EF" w14:textId="77777777"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[Luogo, data]</w:t>
      </w:r>
    </w:p>
    <w:p w14:paraId="12F86AA8" w14:textId="77777777" w:rsidR="00047641" w:rsidRPr="00047641" w:rsidRDefault="00047641" w:rsidP="00047641">
      <w:pPr>
        <w:ind w:right="141"/>
        <w:jc w:val="both"/>
        <w:rPr>
          <w:rFonts w:ascii="Times New Roman" w:eastAsia="Times New Roman" w:hAnsi="Times New Roman" w:cs="Times New Roman"/>
          <w:sz w:val="20"/>
          <w:szCs w:val="20"/>
        </w:rPr>
      </w:pPr>
    </w:p>
    <w:p w14:paraId="5F205A7D" w14:textId="77777777"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[Il Cliente]</w:t>
      </w:r>
    </w:p>
    <w:p w14:paraId="773C54BC" w14:textId="77777777" w:rsidR="00047641" w:rsidRPr="00047641" w:rsidRDefault="00047641" w:rsidP="00047641">
      <w:pPr>
        <w:ind w:right="141"/>
        <w:jc w:val="both"/>
        <w:rPr>
          <w:rFonts w:ascii="Times New Roman" w:eastAsia="Times New Roman" w:hAnsi="Times New Roman" w:cs="Times New Roman"/>
          <w:sz w:val="20"/>
          <w:szCs w:val="20"/>
        </w:rPr>
      </w:pPr>
    </w:p>
    <w:p w14:paraId="608B9CA4" w14:textId="77777777" w:rsidR="00047641" w:rsidRPr="00047641" w:rsidRDefault="00047641" w:rsidP="00047641">
      <w:pPr>
        <w:ind w:right="141"/>
        <w:jc w:val="both"/>
        <w:rPr>
          <w:rFonts w:ascii="Times New Roman" w:eastAsia="Times New Roman" w:hAnsi="Times New Roman" w:cs="Times New Roman"/>
          <w:sz w:val="20"/>
          <w:szCs w:val="20"/>
        </w:rPr>
      </w:pPr>
    </w:p>
    <w:p w14:paraId="67053297" w14:textId="77777777"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______________</w:t>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p>
    <w:p w14:paraId="4D72C417" w14:textId="77777777"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Nome:</w:t>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p>
    <w:p w14:paraId="46D97C26" w14:textId="77777777" w:rsidR="00047641" w:rsidRPr="00047641" w:rsidRDefault="00047641" w:rsidP="00047641">
      <w:pPr>
        <w:ind w:right="141"/>
        <w:jc w:val="both"/>
        <w:rPr>
          <w:rFonts w:ascii="Times New Roman" w:eastAsia="Times New Roman" w:hAnsi="Times New Roman" w:cs="Times New Roman"/>
          <w:sz w:val="20"/>
          <w:szCs w:val="20"/>
        </w:rPr>
      </w:pP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r w:rsidRPr="00047641">
        <w:rPr>
          <w:rFonts w:ascii="Times New Roman" w:eastAsia="Times New Roman" w:hAnsi="Times New Roman" w:cs="Times New Roman"/>
          <w:sz w:val="20"/>
          <w:szCs w:val="20"/>
        </w:rPr>
        <w:tab/>
      </w:r>
    </w:p>
    <w:p w14:paraId="207C96D2" w14:textId="77777777" w:rsidR="00675018" w:rsidRPr="00047641" w:rsidRDefault="00675018" w:rsidP="00460B02">
      <w:pPr>
        <w:pStyle w:val="Titolo3"/>
        <w:tabs>
          <w:tab w:val="left" w:pos="7655"/>
        </w:tabs>
        <w:spacing w:line="276" w:lineRule="auto"/>
        <w:rPr>
          <w:bCs/>
          <w:szCs w:val="24"/>
        </w:rPr>
      </w:pPr>
    </w:p>
    <w:sectPr w:rsidR="00675018" w:rsidRPr="00047641" w:rsidSect="00264711">
      <w:headerReference w:type="default" r:id="rId8"/>
      <w:footerReference w:type="default" r:id="rId9"/>
      <w:headerReference w:type="first" r:id="rId10"/>
      <w:footerReference w:type="first" r:id="rId11"/>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7E86" w14:textId="77777777" w:rsidR="00576FF9" w:rsidRDefault="00576FF9" w:rsidP="000F23BD">
      <w:r>
        <w:separator/>
      </w:r>
    </w:p>
  </w:endnote>
  <w:endnote w:type="continuationSeparator" w:id="0">
    <w:p w14:paraId="1BD935A3" w14:textId="77777777" w:rsidR="00576FF9" w:rsidRDefault="00576FF9"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00304"/>
      <w:docPartObj>
        <w:docPartGallery w:val="Page Numbers (Bottom of Page)"/>
        <w:docPartUnique/>
      </w:docPartObj>
    </w:sdtPr>
    <w:sdtContent>
      <w:p w14:paraId="68498C31" w14:textId="77777777" w:rsidR="00623F1E" w:rsidRDefault="00623F1E">
        <w:pPr>
          <w:pStyle w:val="Pidipagina"/>
          <w:jc w:val="right"/>
        </w:pPr>
        <w:r>
          <w:fldChar w:fldCharType="begin"/>
        </w:r>
        <w:r>
          <w:instrText>PAGE   \* MERGEFORMAT</w:instrText>
        </w:r>
        <w:r>
          <w:fldChar w:fldCharType="separate"/>
        </w:r>
        <w:r w:rsidR="00E00D2E">
          <w:rPr>
            <w:noProof/>
          </w:rPr>
          <w:t>2</w:t>
        </w:r>
        <w:r>
          <w:fldChar w:fldCharType="end"/>
        </w:r>
      </w:p>
    </w:sdtContent>
  </w:sdt>
  <w:p w14:paraId="68941056" w14:textId="77777777" w:rsidR="00623F1E" w:rsidRDefault="00623F1E">
    <w:pPr>
      <w:pStyle w:val="Pidipagina"/>
      <w:rPr>
        <w:noProof/>
      </w:rPr>
    </w:pPr>
  </w:p>
  <w:p w14:paraId="13439999" w14:textId="77777777" w:rsidR="00623F1E" w:rsidRDefault="00623F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6E8B" w14:textId="77777777" w:rsidR="00623F1E" w:rsidRDefault="00623F1E" w:rsidP="000F23BD">
    <w:pPr>
      <w:pStyle w:val="Pidipagina"/>
      <w:jc w:val="right"/>
    </w:pPr>
    <w:r>
      <w:rPr>
        <w:noProof/>
      </w:rPr>
      <w:drawing>
        <wp:inline distT="0" distB="0" distL="0" distR="0" wp14:anchorId="49531606" wp14:editId="1380C0F2">
          <wp:extent cx="6116320" cy="705485"/>
          <wp:effectExtent l="0" t="0" r="5080" b="5715"/>
          <wp:docPr id="6" name="Immagine 6"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27F82B1" w14:textId="77777777" w:rsidR="00623F1E" w:rsidRDefault="00623F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A29F" w14:textId="77777777" w:rsidR="00576FF9" w:rsidRDefault="00576FF9" w:rsidP="000F23BD">
      <w:r>
        <w:separator/>
      </w:r>
    </w:p>
  </w:footnote>
  <w:footnote w:type="continuationSeparator" w:id="0">
    <w:p w14:paraId="74695A72" w14:textId="77777777" w:rsidR="00576FF9" w:rsidRDefault="00576FF9" w:rsidP="000F23BD">
      <w:r>
        <w:continuationSeparator/>
      </w:r>
    </w:p>
  </w:footnote>
  <w:footnote w:id="1">
    <w:p w14:paraId="6FD83E76" w14:textId="77777777" w:rsidR="001B5924" w:rsidRPr="00844378" w:rsidRDefault="001B5924" w:rsidP="001B5924">
      <w:pPr>
        <w:pStyle w:val="Testonotaapidipagina"/>
        <w:jc w:val="both"/>
        <w:rPr>
          <w:sz w:val="16"/>
          <w:szCs w:val="16"/>
        </w:rPr>
      </w:pPr>
      <w:r w:rsidRPr="00844378">
        <w:rPr>
          <w:rStyle w:val="Rimandonotaapidipagina"/>
          <w:sz w:val="16"/>
          <w:szCs w:val="16"/>
        </w:rPr>
        <w:footnoteRef/>
      </w:r>
      <w:r w:rsidRPr="00844378">
        <w:rPr>
          <w:sz w:val="16"/>
          <w:szCs w:val="16"/>
        </w:rPr>
        <w:t xml:space="preserve"> </w:t>
      </w:r>
      <w:r w:rsidRPr="004701B8">
        <w:rPr>
          <w:rFonts w:ascii="Times New Roman" w:hAnsi="Times New Roman"/>
          <w:sz w:val="16"/>
          <w:szCs w:val="16"/>
        </w:rPr>
        <w:t>Si presuppone la conclusione del contratto mediante scambio di proposta e accettazione, che comporta che l’intermediario accetti (per iscritto) la proposta del cliente e gliela invii o consegni. Il contratto si considera concluso, in tale eventualità, quando il cliente ha notizia dell’accettazione della [</w:t>
      </w:r>
      <w:r w:rsidRPr="004701B8">
        <w:rPr>
          <w:rFonts w:ascii="Times New Roman" w:hAnsi="Times New Roman"/>
          <w:i/>
          <w:sz w:val="16"/>
          <w:szCs w:val="16"/>
        </w:rPr>
        <w:t>Banca / SIM</w:t>
      </w:r>
      <w:r w:rsidRPr="004701B8">
        <w:rPr>
          <w:rFonts w:ascii="Times New Roman" w:hAnsi="Times New Roman"/>
          <w:sz w:val="16"/>
          <w:szCs w:val="16"/>
        </w:rPr>
        <w:t>]. È ovviamente possibile, in sede di personalizzazione del contratto, prevedere altre modalità di conclusione, nel rispetto dell’art. 23 del d.lgs. 24 febbraio 1998, n. 58.</w:t>
      </w:r>
    </w:p>
  </w:footnote>
  <w:footnote w:id="2">
    <w:p w14:paraId="4D76B272" w14:textId="11F4A483" w:rsidR="00623F1E" w:rsidRPr="00047641" w:rsidRDefault="00623F1E" w:rsidP="00047641">
      <w:pPr>
        <w:pStyle w:val="Testonotaapidipagina"/>
        <w:ind w:right="141"/>
        <w:jc w:val="both"/>
        <w:rPr>
          <w:rFonts w:ascii="Times New Roman" w:hAnsi="Times New Roman"/>
          <w:sz w:val="16"/>
          <w:szCs w:val="16"/>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Si precisa che la normativa di riferimento non prevede l’obbligo di concludere un accordo scritto anche con le controparti qualificate. L’art. 30 della MiFID II, infatti, non prevede l’applicazione nei rapporti con le controparti qualificate dell’art. 25, paragrafo 5, della Direttiva che impone l’obbligo di concludere un contratto scritto al fine di regolamentare i diritti e gli obblighi delle parti, nonché le altre condizioni alle quali l’impresa di investimento fornirà servizi al cliente. Inoltre, l’art. 58 R.D. (UE) 565/2017, pur prevedendo che le imprese di investimento “</w:t>
      </w:r>
      <w:r w:rsidRPr="00047641">
        <w:rPr>
          <w:rFonts w:ascii="Times New Roman" w:hAnsi="Times New Roman"/>
          <w:i/>
          <w:sz w:val="16"/>
          <w:szCs w:val="16"/>
        </w:rPr>
        <w:t>stipulano con il cliente un accordo di base per iscritto</w:t>
      </w:r>
      <w:r w:rsidRPr="00047641">
        <w:rPr>
          <w:rFonts w:ascii="Times New Roman" w:hAnsi="Times New Roman"/>
          <w:sz w:val="16"/>
          <w:szCs w:val="16"/>
        </w:rPr>
        <w:t>” – senza specificare la tipologia di cliente – è rubricato “</w:t>
      </w:r>
      <w:r w:rsidRPr="00047641">
        <w:rPr>
          <w:rFonts w:ascii="Times New Roman" w:hAnsi="Times New Roman"/>
          <w:i/>
          <w:sz w:val="16"/>
          <w:szCs w:val="16"/>
        </w:rPr>
        <w:t>Accordi con i clienti professionali e al dettaglio</w:t>
      </w:r>
      <w:r w:rsidRPr="00047641">
        <w:rPr>
          <w:rFonts w:ascii="Times New Roman" w:hAnsi="Times New Roman"/>
          <w:sz w:val="16"/>
          <w:szCs w:val="16"/>
        </w:rPr>
        <w:t xml:space="preserve">”, così da escludere l’applicabilità alle controparti qualificate di tale disposizione. Ad ulteriore conferma di quanto sopra evidenziato si osserva, infine, che anche il commento all’art. 37 delle Modifiche al Regolamento Intermediari, che disciplina i “Contratti”, precisa che, in coerenza con quanto prescritto dalla MiFID II, il principio della necessaria contrattualizzazione dei diritti e degli obblighi delle parti è stato esteso anche ai rapporti con la clientela professionale.     </w:t>
      </w:r>
    </w:p>
  </w:footnote>
  <w:footnote w:id="3">
    <w:p w14:paraId="5DA89189" w14:textId="56D9A8B9" w:rsidR="00623F1E" w:rsidRPr="00047641" w:rsidRDefault="00623F1E" w:rsidP="00047641">
      <w:pPr>
        <w:pStyle w:val="Testonotaapidipagina"/>
        <w:ind w:right="141"/>
        <w:jc w:val="both"/>
        <w:rPr>
          <w:rFonts w:ascii="Times New Roman" w:hAnsi="Times New Roman"/>
          <w:sz w:val="16"/>
          <w:szCs w:val="16"/>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xml:space="preserve">)  Secondo quanto disposto dagli artt. 6 comma 2 </w:t>
      </w:r>
      <w:r w:rsidRPr="00047641">
        <w:rPr>
          <w:rFonts w:ascii="Times New Roman" w:hAnsi="Times New Roman"/>
          <w:i/>
          <w:sz w:val="16"/>
          <w:szCs w:val="16"/>
        </w:rPr>
        <w:t>quater</w:t>
      </w:r>
      <w:r w:rsidRPr="00047641">
        <w:rPr>
          <w:rFonts w:ascii="Times New Roman" w:hAnsi="Times New Roman"/>
          <w:sz w:val="16"/>
          <w:szCs w:val="16"/>
        </w:rPr>
        <w:t xml:space="preserve">, lettera d) </w:t>
      </w:r>
      <w:proofErr w:type="spellStart"/>
      <w:r w:rsidRPr="00047641">
        <w:rPr>
          <w:rFonts w:ascii="Times New Roman" w:hAnsi="Times New Roman"/>
          <w:sz w:val="16"/>
          <w:szCs w:val="16"/>
        </w:rPr>
        <w:t>nn</w:t>
      </w:r>
      <w:proofErr w:type="spellEnd"/>
      <w:r w:rsidRPr="00047641">
        <w:rPr>
          <w:rFonts w:ascii="Times New Roman" w:hAnsi="Times New Roman"/>
          <w:sz w:val="16"/>
          <w:szCs w:val="16"/>
        </w:rPr>
        <w:t xml:space="preserve">. 1, 2, 3 TUF; 30, par 2, MiFID II; </w:t>
      </w:r>
      <w:r>
        <w:rPr>
          <w:rFonts w:ascii="Times New Roman" w:hAnsi="Times New Roman"/>
          <w:sz w:val="16"/>
          <w:szCs w:val="16"/>
        </w:rPr>
        <w:t>61</w:t>
      </w:r>
      <w:r w:rsidRPr="00047641">
        <w:rPr>
          <w:rFonts w:ascii="Times New Roman" w:hAnsi="Times New Roman"/>
          <w:sz w:val="16"/>
          <w:szCs w:val="16"/>
        </w:rPr>
        <w:t xml:space="preserve"> Regolamento Intermediari, i soggetti considerati </w:t>
      </w:r>
      <w:r w:rsidRPr="00047641">
        <w:rPr>
          <w:rFonts w:ascii="Times New Roman" w:hAnsi="Times New Roman"/>
          <w:i/>
          <w:sz w:val="16"/>
          <w:szCs w:val="16"/>
        </w:rPr>
        <w:t>ex</w:t>
      </w:r>
      <w:r w:rsidRPr="00047641">
        <w:rPr>
          <w:rFonts w:ascii="Times New Roman" w:hAnsi="Times New Roman"/>
          <w:sz w:val="16"/>
          <w:szCs w:val="16"/>
        </w:rPr>
        <w:t xml:space="preserve"> se controparti qualificate sono i seguenti: (i) SIM; (ii) imprese di investimento UE; (iii) banche; (iv) imprese di assicurazioni; (v) </w:t>
      </w:r>
      <w:proofErr w:type="spellStart"/>
      <w:r w:rsidRPr="00047641">
        <w:rPr>
          <w:rFonts w:ascii="Times New Roman" w:hAnsi="Times New Roman"/>
          <w:sz w:val="16"/>
          <w:szCs w:val="16"/>
        </w:rPr>
        <w:t>Oicr</w:t>
      </w:r>
      <w:proofErr w:type="spellEnd"/>
      <w:r w:rsidRPr="00047641">
        <w:rPr>
          <w:rFonts w:ascii="Times New Roman" w:hAnsi="Times New Roman"/>
          <w:sz w:val="16"/>
          <w:szCs w:val="16"/>
        </w:rPr>
        <w:t xml:space="preserve">; (vi) gestori; (vii) fondi pensione; (viii) intermediari finanziari iscritti nell’albo previsto dall’articolo 106 del TUB; (ix) società di cui all’art. 18 del TUB; (x) istituti di moneta elettronica; (xi) fondazioni bancarie; (xii) Governi nazionali e i loro corrispondenti uffici, compresi gli organismi pubblici incaricati di gestire il debito pubblico; (xiii) le banche centrali; (xiv) le organizzazioni sovranazionali a carattere pubblico; (xv) altre categorie di soggetti privati individuati con Regolamento dalla Consob, sentita Banca d’Italia; (xvi) categorie corrispondenti a quelle già elencate di soggetti di paesi non appartenenti all’Unione Europea. </w:t>
      </w:r>
    </w:p>
  </w:footnote>
  <w:footnote w:id="4">
    <w:p w14:paraId="26E4119C" w14:textId="362BC096" w:rsidR="00623F1E" w:rsidRPr="00F42659" w:rsidRDefault="00623F1E" w:rsidP="00047641">
      <w:pPr>
        <w:pStyle w:val="Testonotaapidipagina"/>
        <w:ind w:right="141"/>
        <w:jc w:val="both"/>
        <w:rPr>
          <w:sz w:val="18"/>
          <w:szCs w:val="18"/>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xml:space="preserve">) </w:t>
      </w:r>
      <w:r w:rsidRPr="00047641">
        <w:rPr>
          <w:rFonts w:ascii="Times New Roman" w:hAnsi="Times New Roman"/>
          <w:i/>
          <w:sz w:val="16"/>
          <w:szCs w:val="16"/>
        </w:rPr>
        <w:t>cfr</w:t>
      </w:r>
      <w:r w:rsidRPr="00047641">
        <w:rPr>
          <w:rFonts w:ascii="Times New Roman" w:hAnsi="Times New Roman"/>
          <w:sz w:val="16"/>
          <w:szCs w:val="16"/>
        </w:rPr>
        <w:t xml:space="preserve">. art. 30, par. 3, MiFID II che prevede che i clienti professionali in possesso di requisiti prestabiliti, anche quantitativi, possano richiedere di essere considerati controparti qualificate e art. 71 R.D. (UE) 565/2017 par. 5 che disciplina la procedura da applicarsi in tali ipotesi. Si precisa, altresì, che a norma dell'art. 71 R.D. (UE) 565/2017 e dell’art. </w:t>
      </w:r>
      <w:r>
        <w:rPr>
          <w:rFonts w:ascii="Times New Roman" w:hAnsi="Times New Roman"/>
          <w:sz w:val="16"/>
          <w:szCs w:val="16"/>
        </w:rPr>
        <w:t>61 del</w:t>
      </w:r>
      <w:r w:rsidRPr="00047641">
        <w:rPr>
          <w:rFonts w:ascii="Times New Roman" w:hAnsi="Times New Roman"/>
          <w:sz w:val="16"/>
          <w:szCs w:val="16"/>
        </w:rPr>
        <w:t xml:space="preserve"> Regolamento Intermediari, la classificazione come controparte qualificata non pregiudica la facoltà del soggetto di chiedere, in via generale o per ogni singola operazione, di essere trattato come un cliente professionale ovvero, in via espressa, come un cliente al dettaglio.</w:t>
      </w:r>
      <w:r w:rsidRPr="00F42659">
        <w:rPr>
          <w:sz w:val="18"/>
          <w:szCs w:val="18"/>
        </w:rPr>
        <w:t xml:space="preserve">  </w:t>
      </w:r>
    </w:p>
  </w:footnote>
  <w:footnote w:id="5">
    <w:p w14:paraId="1684432C" w14:textId="6833094B" w:rsidR="00623F1E" w:rsidRPr="00047641" w:rsidRDefault="00623F1E" w:rsidP="00047641">
      <w:pPr>
        <w:pStyle w:val="Testonotaapidipagina"/>
        <w:ind w:right="141"/>
        <w:jc w:val="both"/>
        <w:rPr>
          <w:rFonts w:ascii="Times New Roman" w:hAnsi="Times New Roman"/>
          <w:sz w:val="16"/>
          <w:szCs w:val="16"/>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xml:space="preserve">) </w:t>
      </w:r>
      <w:r w:rsidRPr="00047641">
        <w:rPr>
          <w:rFonts w:ascii="Times New Roman" w:hAnsi="Times New Roman"/>
          <w:i/>
          <w:sz w:val="16"/>
          <w:szCs w:val="16"/>
        </w:rPr>
        <w:t>cfr</w:t>
      </w:r>
      <w:r w:rsidRPr="00047641">
        <w:rPr>
          <w:rFonts w:ascii="Times New Roman" w:hAnsi="Times New Roman"/>
          <w:sz w:val="16"/>
          <w:szCs w:val="16"/>
        </w:rPr>
        <w:t xml:space="preserve">. </w:t>
      </w:r>
      <w:r>
        <w:rPr>
          <w:rFonts w:ascii="Times New Roman" w:hAnsi="Times New Roman"/>
          <w:sz w:val="16"/>
          <w:szCs w:val="16"/>
        </w:rPr>
        <w:t xml:space="preserve">Per effetto delle modifiche apportate all’art. 30 MiFID II dalla </w:t>
      </w:r>
      <w:r w:rsidRPr="003258DE">
        <w:rPr>
          <w:rFonts w:ascii="Times New Roman" w:hAnsi="Times New Roman"/>
          <w:i/>
          <w:sz w:val="16"/>
          <w:szCs w:val="16"/>
        </w:rPr>
        <w:t>Quick Fix</w:t>
      </w:r>
      <w:r>
        <w:rPr>
          <w:rFonts w:ascii="Times New Roman" w:hAnsi="Times New Roman"/>
          <w:sz w:val="16"/>
          <w:szCs w:val="16"/>
        </w:rPr>
        <w:t>, l’</w:t>
      </w:r>
      <w:r w:rsidRPr="00047641">
        <w:rPr>
          <w:rFonts w:ascii="Times New Roman" w:hAnsi="Times New Roman"/>
          <w:sz w:val="16"/>
          <w:szCs w:val="16"/>
        </w:rPr>
        <w:t>art. 24, paragrafo 4, MiFID II</w:t>
      </w:r>
      <w:r>
        <w:rPr>
          <w:rFonts w:ascii="Times New Roman" w:hAnsi="Times New Roman"/>
          <w:sz w:val="16"/>
          <w:szCs w:val="16"/>
        </w:rPr>
        <w:t xml:space="preserve"> e le relative diposizioni attuative del R.D. </w:t>
      </w:r>
      <w:r w:rsidRPr="00047641">
        <w:rPr>
          <w:rFonts w:ascii="Times New Roman" w:hAnsi="Times New Roman"/>
          <w:sz w:val="16"/>
          <w:szCs w:val="16"/>
        </w:rPr>
        <w:t xml:space="preserve">(UE) 565/2017 </w:t>
      </w:r>
      <w:r>
        <w:rPr>
          <w:rFonts w:ascii="Times New Roman" w:hAnsi="Times New Roman"/>
          <w:sz w:val="16"/>
          <w:szCs w:val="16"/>
        </w:rPr>
        <w:t xml:space="preserve">non trovano più applicazione </w:t>
      </w:r>
      <w:r w:rsidRPr="00047641">
        <w:rPr>
          <w:rFonts w:ascii="Times New Roman" w:hAnsi="Times New Roman"/>
          <w:sz w:val="16"/>
          <w:szCs w:val="16"/>
        </w:rPr>
        <w:t>a</w:t>
      </w:r>
      <w:r>
        <w:rPr>
          <w:rFonts w:ascii="Times New Roman" w:hAnsi="Times New Roman"/>
          <w:sz w:val="16"/>
          <w:szCs w:val="16"/>
        </w:rPr>
        <w:t>lle</w:t>
      </w:r>
      <w:r w:rsidRPr="00047641">
        <w:rPr>
          <w:rFonts w:ascii="Times New Roman" w:hAnsi="Times New Roman"/>
          <w:sz w:val="16"/>
          <w:szCs w:val="16"/>
        </w:rPr>
        <w:t xml:space="preserve"> controparti qualificate</w:t>
      </w:r>
      <w:r>
        <w:rPr>
          <w:rFonts w:ascii="Times New Roman" w:hAnsi="Times New Roman"/>
          <w:sz w:val="16"/>
          <w:szCs w:val="16"/>
        </w:rPr>
        <w:t>.</w:t>
      </w:r>
    </w:p>
  </w:footnote>
  <w:footnote w:id="6">
    <w:p w14:paraId="6B11BCFC" w14:textId="77777777" w:rsidR="00623F1E" w:rsidRPr="00047641" w:rsidRDefault="00623F1E" w:rsidP="00047641">
      <w:pPr>
        <w:pStyle w:val="Testonotaapidipagina"/>
        <w:ind w:right="141"/>
        <w:jc w:val="both"/>
        <w:rPr>
          <w:rFonts w:ascii="Times New Roman" w:hAnsi="Times New Roman"/>
          <w:sz w:val="16"/>
          <w:szCs w:val="16"/>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xml:space="preserve">)  Per non appesantire il testo, si è immaginato un rinvio a dei </w:t>
      </w:r>
      <w:proofErr w:type="spellStart"/>
      <w:r w:rsidRPr="00047641">
        <w:rPr>
          <w:rFonts w:ascii="Times New Roman" w:hAnsi="Times New Roman"/>
          <w:i/>
          <w:sz w:val="16"/>
          <w:szCs w:val="16"/>
        </w:rPr>
        <w:t>Terms</w:t>
      </w:r>
      <w:proofErr w:type="spellEnd"/>
      <w:r w:rsidRPr="00047641">
        <w:rPr>
          <w:rFonts w:ascii="Times New Roman" w:hAnsi="Times New Roman"/>
          <w:i/>
          <w:sz w:val="16"/>
          <w:szCs w:val="16"/>
        </w:rPr>
        <w:t xml:space="preserve"> of Business</w:t>
      </w:r>
      <w:r w:rsidRPr="00047641">
        <w:rPr>
          <w:rFonts w:ascii="Times New Roman" w:hAnsi="Times New Roman"/>
          <w:sz w:val="16"/>
          <w:szCs w:val="16"/>
        </w:rPr>
        <w:t xml:space="preserve"> per la disciplina delle modalità di prestazione dei servizi di investimento (conferimento degli ordini, tempi e modalità di esecuzione, etc.).</w:t>
      </w:r>
    </w:p>
  </w:footnote>
  <w:footnote w:id="7">
    <w:p w14:paraId="3D19BC2E" w14:textId="2A58BCCE" w:rsidR="00623F1E" w:rsidRPr="00293511" w:rsidRDefault="00623F1E" w:rsidP="001B3987">
      <w:pPr>
        <w:pStyle w:val="Testonotaapidipagina"/>
        <w:jc w:val="both"/>
        <w:rPr>
          <w:rFonts w:ascii="Times New Roman" w:hAnsi="Times New Roman"/>
          <w:sz w:val="16"/>
          <w:szCs w:val="16"/>
        </w:rPr>
      </w:pPr>
      <w:r w:rsidRPr="00293511">
        <w:rPr>
          <w:rFonts w:ascii="Times New Roman" w:hAnsi="Times New Roman"/>
          <w:sz w:val="16"/>
          <w:szCs w:val="16"/>
          <w:vertAlign w:val="superscript"/>
        </w:rPr>
        <w:footnoteRef/>
      </w:r>
      <w:r>
        <w:rPr>
          <w:rFonts w:ascii="Times New Roman" w:hAnsi="Times New Roman"/>
        </w:rPr>
        <w:t xml:space="preserve">) </w:t>
      </w:r>
      <w:r>
        <w:rPr>
          <w:rFonts w:ascii="Times New Roman" w:hAnsi="Times New Roman"/>
          <w:sz w:val="16"/>
          <w:szCs w:val="16"/>
        </w:rPr>
        <w:t xml:space="preserve">Per effetto delle modifiche apportate all’art. 30 MiFID II dalla </w:t>
      </w:r>
      <w:r w:rsidRPr="003258DE">
        <w:rPr>
          <w:rFonts w:ascii="Times New Roman" w:hAnsi="Times New Roman"/>
          <w:i/>
          <w:sz w:val="16"/>
          <w:szCs w:val="16"/>
        </w:rPr>
        <w:t>Quick Fix</w:t>
      </w:r>
      <w:r>
        <w:rPr>
          <w:rFonts w:ascii="Times New Roman" w:hAnsi="Times New Roman"/>
          <w:sz w:val="16"/>
          <w:szCs w:val="16"/>
        </w:rPr>
        <w:t>, l’art. 25, paragrafo 6</w:t>
      </w:r>
      <w:r w:rsidRPr="00047641">
        <w:rPr>
          <w:rFonts w:ascii="Times New Roman" w:hAnsi="Times New Roman"/>
          <w:sz w:val="16"/>
          <w:szCs w:val="16"/>
        </w:rPr>
        <w:t>, MiFID II</w:t>
      </w:r>
      <w:r>
        <w:rPr>
          <w:rFonts w:ascii="Times New Roman" w:hAnsi="Times New Roman"/>
          <w:sz w:val="16"/>
          <w:szCs w:val="16"/>
        </w:rPr>
        <w:t xml:space="preserve"> e le relative diposizioni attuative del R.D. </w:t>
      </w:r>
      <w:r w:rsidRPr="00047641">
        <w:rPr>
          <w:rFonts w:ascii="Times New Roman" w:hAnsi="Times New Roman"/>
          <w:sz w:val="16"/>
          <w:szCs w:val="16"/>
        </w:rPr>
        <w:t xml:space="preserve">(UE) 565/2017 </w:t>
      </w:r>
      <w:r>
        <w:rPr>
          <w:rFonts w:ascii="Times New Roman" w:hAnsi="Times New Roman"/>
          <w:sz w:val="16"/>
          <w:szCs w:val="16"/>
        </w:rPr>
        <w:t xml:space="preserve">in materia di rendicontazione </w:t>
      </w:r>
      <w:r w:rsidR="00E00D2E">
        <w:rPr>
          <w:rFonts w:ascii="Times New Roman" w:hAnsi="Times New Roman"/>
          <w:sz w:val="16"/>
          <w:szCs w:val="16"/>
        </w:rPr>
        <w:t xml:space="preserve">e l’art. </w:t>
      </w:r>
      <w:r w:rsidR="00E00D2E" w:rsidRPr="00047641">
        <w:rPr>
          <w:rFonts w:ascii="Times New Roman" w:hAnsi="Times New Roman"/>
          <w:sz w:val="16"/>
          <w:szCs w:val="16"/>
        </w:rPr>
        <w:t>24, paragrafo 4, MiFID II</w:t>
      </w:r>
      <w:r w:rsidR="00E00D2E">
        <w:rPr>
          <w:rFonts w:ascii="Times New Roman" w:hAnsi="Times New Roman"/>
          <w:sz w:val="16"/>
          <w:szCs w:val="16"/>
        </w:rPr>
        <w:t xml:space="preserve"> e le relative diposizioni attuative del R.D. </w:t>
      </w:r>
      <w:r w:rsidR="00E00D2E" w:rsidRPr="00047641">
        <w:rPr>
          <w:rFonts w:ascii="Times New Roman" w:hAnsi="Times New Roman"/>
          <w:sz w:val="16"/>
          <w:szCs w:val="16"/>
        </w:rPr>
        <w:t>(UE) 565/2017</w:t>
      </w:r>
      <w:r w:rsidR="00E00D2E">
        <w:rPr>
          <w:rFonts w:ascii="Times New Roman" w:hAnsi="Times New Roman"/>
          <w:sz w:val="16"/>
          <w:szCs w:val="16"/>
        </w:rPr>
        <w:t>, anche in tema di costi e oneri,</w:t>
      </w:r>
      <w:r w:rsidR="00E00D2E" w:rsidRPr="00047641">
        <w:rPr>
          <w:rFonts w:ascii="Times New Roman" w:hAnsi="Times New Roman"/>
          <w:sz w:val="16"/>
          <w:szCs w:val="16"/>
        </w:rPr>
        <w:t xml:space="preserve"> </w:t>
      </w:r>
      <w:r>
        <w:rPr>
          <w:rFonts w:ascii="Times New Roman" w:hAnsi="Times New Roman"/>
          <w:sz w:val="16"/>
          <w:szCs w:val="16"/>
        </w:rPr>
        <w:t xml:space="preserve">non trovano più applicazione </w:t>
      </w:r>
      <w:r w:rsidRPr="00047641">
        <w:rPr>
          <w:rFonts w:ascii="Times New Roman" w:hAnsi="Times New Roman"/>
          <w:sz w:val="16"/>
          <w:szCs w:val="16"/>
        </w:rPr>
        <w:t>a</w:t>
      </w:r>
      <w:r>
        <w:rPr>
          <w:rFonts w:ascii="Times New Roman" w:hAnsi="Times New Roman"/>
          <w:sz w:val="16"/>
          <w:szCs w:val="16"/>
        </w:rPr>
        <w:t>lle</w:t>
      </w:r>
      <w:r w:rsidRPr="00047641">
        <w:rPr>
          <w:rFonts w:ascii="Times New Roman" w:hAnsi="Times New Roman"/>
          <w:sz w:val="16"/>
          <w:szCs w:val="16"/>
        </w:rPr>
        <w:t xml:space="preserve"> controparti qualificate</w:t>
      </w:r>
      <w:r>
        <w:rPr>
          <w:rFonts w:ascii="Times New Roman" w:hAnsi="Times New Roman"/>
          <w:sz w:val="16"/>
          <w:szCs w:val="16"/>
        </w:rPr>
        <w:t>.</w:t>
      </w:r>
    </w:p>
  </w:footnote>
  <w:footnote w:id="8">
    <w:p w14:paraId="6D06A6D1" w14:textId="5C028007" w:rsidR="00623F1E" w:rsidRPr="00AA5621" w:rsidRDefault="00623F1E" w:rsidP="00047641">
      <w:pPr>
        <w:pStyle w:val="Testonotaapidipagina"/>
        <w:ind w:right="141"/>
        <w:jc w:val="both"/>
        <w:rPr>
          <w:sz w:val="18"/>
          <w:szCs w:val="18"/>
        </w:rPr>
      </w:pPr>
      <w:r w:rsidRPr="00047641">
        <w:rPr>
          <w:rFonts w:ascii="Times New Roman" w:hAnsi="Times New Roman"/>
          <w:sz w:val="16"/>
          <w:szCs w:val="16"/>
        </w:rPr>
        <w:t>(</w:t>
      </w:r>
      <w:r w:rsidRPr="00047641">
        <w:rPr>
          <w:rStyle w:val="Rimandonotaapidipagina"/>
          <w:rFonts w:ascii="Times New Roman" w:hAnsi="Times New Roman"/>
          <w:sz w:val="16"/>
          <w:szCs w:val="16"/>
        </w:rPr>
        <w:footnoteRef/>
      </w:r>
      <w:r w:rsidRPr="00047641">
        <w:rPr>
          <w:rFonts w:ascii="Times New Roman" w:hAnsi="Times New Roman"/>
          <w:sz w:val="16"/>
          <w:szCs w:val="16"/>
        </w:rPr>
        <w:t xml:space="preserve">) </w:t>
      </w:r>
      <w:r w:rsidRPr="00047641">
        <w:rPr>
          <w:rFonts w:ascii="Times New Roman" w:hAnsi="Times New Roman"/>
          <w:i/>
          <w:sz w:val="16"/>
          <w:szCs w:val="16"/>
        </w:rPr>
        <w:t>cfr</w:t>
      </w:r>
      <w:r w:rsidRPr="00047641">
        <w:rPr>
          <w:rFonts w:ascii="Times New Roman" w:hAnsi="Times New Roman"/>
          <w:sz w:val="16"/>
          <w:szCs w:val="16"/>
        </w:rPr>
        <w:t>. considerando n. 46 R.D. (UE) 565/2017 a norma del quale i “</w:t>
      </w:r>
      <w:r w:rsidRPr="00047641">
        <w:rPr>
          <w:rFonts w:ascii="Times New Roman" w:hAnsi="Times New Roman"/>
          <w:i/>
          <w:sz w:val="16"/>
          <w:szCs w:val="16"/>
        </w:rPr>
        <w:t>conflitti di interesse dovrebbero essere regolamentati solo quando un'impresa di investimento presta un servizio di investimento o un servizio accessorio. Lo status del cliente al quale il servizio è fornito – sia esso cliente al dettaglio, cliente professionale o controparte qualificata – è irrilevante a tal fine</w:t>
      </w:r>
      <w:r w:rsidRPr="00047641">
        <w:rPr>
          <w:rFonts w:ascii="Times New Roman" w:hAnsi="Times New Roman"/>
          <w:sz w:val="16"/>
          <w:szCs w:val="16"/>
        </w:rPr>
        <w:t xml:space="preserve">”; art. 23 MiFID II e artt. 33 e 34 R.D. (UE) 565/2017.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E480" w14:textId="77777777" w:rsidR="00623F1E" w:rsidRDefault="00623F1E" w:rsidP="000F23BD">
    <w:pPr>
      <w:pStyle w:val="Intestazione"/>
      <w:jc w:val="center"/>
    </w:pPr>
    <w:r>
      <w:rPr>
        <w:noProof/>
      </w:rPr>
      <w:drawing>
        <wp:inline distT="0" distB="0" distL="0" distR="0" wp14:anchorId="0F3FDD69" wp14:editId="201DC13D">
          <wp:extent cx="3478912" cy="639104"/>
          <wp:effectExtent l="0" t="0" r="1270" b="0"/>
          <wp:docPr id="1" name="Immagine 1"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E71A" w14:textId="77777777" w:rsidR="00623F1E" w:rsidRDefault="00623F1E" w:rsidP="000F23BD">
    <w:pPr>
      <w:pStyle w:val="Intestazione"/>
      <w:jc w:val="center"/>
    </w:pPr>
    <w:r>
      <w:rPr>
        <w:noProof/>
      </w:rPr>
      <w:drawing>
        <wp:inline distT="0" distB="0" distL="0" distR="0" wp14:anchorId="308B0E90" wp14:editId="61BA7623">
          <wp:extent cx="3478912" cy="639104"/>
          <wp:effectExtent l="0" t="0" r="1270" b="0"/>
          <wp:docPr id="5" name="Immagine 5"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FAA"/>
    <w:multiLevelType w:val="hybridMultilevel"/>
    <w:tmpl w:val="C32CF6D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6F5988"/>
    <w:multiLevelType w:val="hybridMultilevel"/>
    <w:tmpl w:val="46300DC8"/>
    <w:lvl w:ilvl="0" w:tplc="2606FF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15408"/>
    <w:multiLevelType w:val="singleLevel"/>
    <w:tmpl w:val="696A97DA"/>
    <w:lvl w:ilvl="0">
      <w:start w:val="1"/>
      <w:numFmt w:val="lowerLetter"/>
      <w:lvlText w:val="%1)"/>
      <w:lvlJc w:val="left"/>
      <w:pPr>
        <w:tabs>
          <w:tab w:val="num" w:pos="705"/>
        </w:tabs>
        <w:ind w:left="705" w:hanging="705"/>
      </w:pPr>
      <w:rPr>
        <w:rFonts w:ascii="Times New Roman" w:hAnsi="Times New Roman" w:cs="Times New Roman" w:hint="default"/>
        <w:b w:val="0"/>
        <w:sz w:val="20"/>
        <w:szCs w:val="20"/>
      </w:rPr>
    </w:lvl>
  </w:abstractNum>
  <w:abstractNum w:abstractNumId="3" w15:restartNumberingAfterBreak="0">
    <w:nsid w:val="0FB0021B"/>
    <w:multiLevelType w:val="hybridMultilevel"/>
    <w:tmpl w:val="FA0C5864"/>
    <w:lvl w:ilvl="0" w:tplc="000F0410">
      <w:start w:val="1"/>
      <w:numFmt w:val="decimal"/>
      <w:lvlText w:val="%1."/>
      <w:lvlJc w:val="left"/>
      <w:pPr>
        <w:tabs>
          <w:tab w:val="num" w:pos="720"/>
        </w:tabs>
        <w:ind w:left="720" w:hanging="360"/>
      </w:pPr>
    </w:lvl>
    <w:lvl w:ilvl="1" w:tplc="00190410">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4" w15:restartNumberingAfterBreak="0">
    <w:nsid w:val="218F2AEF"/>
    <w:multiLevelType w:val="hybridMultilevel"/>
    <w:tmpl w:val="92A2E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C2150"/>
    <w:multiLevelType w:val="hybridMultilevel"/>
    <w:tmpl w:val="7D2C73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2CA61540"/>
    <w:multiLevelType w:val="hybridMultilevel"/>
    <w:tmpl w:val="F39AEE2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17E5A8C"/>
    <w:multiLevelType w:val="hybridMultilevel"/>
    <w:tmpl w:val="00FE562E"/>
    <w:lvl w:ilvl="0" w:tplc="0410000B">
      <w:start w:val="1"/>
      <w:numFmt w:val="bullet"/>
      <w:lvlText w:val=""/>
      <w:lvlJc w:val="left"/>
      <w:rPr>
        <w:rFonts w:ascii="Wingdings" w:hAnsi="Wingdings" w:hint="default"/>
      </w:rPr>
    </w:lvl>
    <w:lvl w:ilvl="1" w:tplc="0410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6D2E71"/>
    <w:multiLevelType w:val="hybridMultilevel"/>
    <w:tmpl w:val="D9A418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670439"/>
    <w:multiLevelType w:val="hybridMultilevel"/>
    <w:tmpl w:val="70783D4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CD2BAE5"/>
    <w:multiLevelType w:val="hybridMultilevel"/>
    <w:tmpl w:val="33580330"/>
    <w:lvl w:ilvl="0" w:tplc="FFFFFFFF">
      <w:start w:val="1"/>
      <w:numFmt w:val="bullet"/>
      <w:lvlText w:val="•"/>
      <w:lvlJc w:val="left"/>
    </w:lvl>
    <w:lvl w:ilvl="1" w:tplc="0410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E844D5"/>
    <w:multiLevelType w:val="hybridMultilevel"/>
    <w:tmpl w:val="B394E0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EB1F0A"/>
    <w:multiLevelType w:val="hybridMultilevel"/>
    <w:tmpl w:val="74AC578E"/>
    <w:lvl w:ilvl="0" w:tplc="3526620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920CA1"/>
    <w:multiLevelType w:val="hybridMultilevel"/>
    <w:tmpl w:val="62A014DC"/>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14" w15:restartNumberingAfterBreak="0">
    <w:nsid w:val="5A0D65BF"/>
    <w:multiLevelType w:val="multilevel"/>
    <w:tmpl w:val="55D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A63F59"/>
    <w:multiLevelType w:val="multilevel"/>
    <w:tmpl w:val="D01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1211CB"/>
    <w:multiLevelType w:val="hybridMultilevel"/>
    <w:tmpl w:val="CB54D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3E13DC"/>
    <w:multiLevelType w:val="hybridMultilevel"/>
    <w:tmpl w:val="0CDCC616"/>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18" w15:restartNumberingAfterBreak="0">
    <w:nsid w:val="6CFA0603"/>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6D517E49"/>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40764508">
    <w:abstractNumId w:val="8"/>
  </w:num>
  <w:num w:numId="2" w16cid:durableId="382290522">
    <w:abstractNumId w:val="0"/>
  </w:num>
  <w:num w:numId="3" w16cid:durableId="779688515">
    <w:abstractNumId w:val="1"/>
  </w:num>
  <w:num w:numId="4" w16cid:durableId="1721588508">
    <w:abstractNumId w:val="11"/>
  </w:num>
  <w:num w:numId="5" w16cid:durableId="452021991">
    <w:abstractNumId w:val="9"/>
  </w:num>
  <w:num w:numId="6" w16cid:durableId="89204391">
    <w:abstractNumId w:val="17"/>
  </w:num>
  <w:num w:numId="7" w16cid:durableId="883718893">
    <w:abstractNumId w:val="6"/>
  </w:num>
  <w:num w:numId="8" w16cid:durableId="822543615">
    <w:abstractNumId w:val="13"/>
  </w:num>
  <w:num w:numId="9" w16cid:durableId="1701853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686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7873167">
    <w:abstractNumId w:val="15"/>
  </w:num>
  <w:num w:numId="12" w16cid:durableId="836463879">
    <w:abstractNumId w:val="14"/>
  </w:num>
  <w:num w:numId="13" w16cid:durableId="890044795">
    <w:abstractNumId w:val="18"/>
  </w:num>
  <w:num w:numId="14" w16cid:durableId="1986472267">
    <w:abstractNumId w:val="19"/>
  </w:num>
  <w:num w:numId="15" w16cid:durableId="2131632353">
    <w:abstractNumId w:val="4"/>
  </w:num>
  <w:num w:numId="16" w16cid:durableId="114761542">
    <w:abstractNumId w:val="10"/>
  </w:num>
  <w:num w:numId="17" w16cid:durableId="344093380">
    <w:abstractNumId w:val="7"/>
  </w:num>
  <w:num w:numId="18" w16cid:durableId="1833913247">
    <w:abstractNumId w:val="5"/>
  </w:num>
  <w:num w:numId="19" w16cid:durableId="970356986">
    <w:abstractNumId w:val="16"/>
  </w:num>
  <w:num w:numId="20" w16cid:durableId="2118601816">
    <w:abstractNumId w:val="2"/>
  </w:num>
  <w:num w:numId="21" w16cid:durableId="328482458">
    <w:abstractNumId w:val="12"/>
  </w:num>
  <w:num w:numId="22" w16cid:durableId="144719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BD"/>
    <w:rsid w:val="0000104D"/>
    <w:rsid w:val="0002593E"/>
    <w:rsid w:val="00031275"/>
    <w:rsid w:val="00047641"/>
    <w:rsid w:val="000B6E97"/>
    <w:rsid w:val="000C4E0E"/>
    <w:rsid w:val="000F23BD"/>
    <w:rsid w:val="00106D1A"/>
    <w:rsid w:val="001071DD"/>
    <w:rsid w:val="00110923"/>
    <w:rsid w:val="0011777D"/>
    <w:rsid w:val="00120C15"/>
    <w:rsid w:val="00144C5D"/>
    <w:rsid w:val="001505E3"/>
    <w:rsid w:val="001568BD"/>
    <w:rsid w:val="001913C2"/>
    <w:rsid w:val="001935EB"/>
    <w:rsid w:val="00197CA5"/>
    <w:rsid w:val="001A2EF5"/>
    <w:rsid w:val="001A5189"/>
    <w:rsid w:val="001B3987"/>
    <w:rsid w:val="001B5924"/>
    <w:rsid w:val="001C6080"/>
    <w:rsid w:val="001D6B53"/>
    <w:rsid w:val="001D7F67"/>
    <w:rsid w:val="002130FE"/>
    <w:rsid w:val="00216A9E"/>
    <w:rsid w:val="00230A9F"/>
    <w:rsid w:val="002322C7"/>
    <w:rsid w:val="0023403A"/>
    <w:rsid w:val="00264711"/>
    <w:rsid w:val="00276B59"/>
    <w:rsid w:val="00293511"/>
    <w:rsid w:val="00297775"/>
    <w:rsid w:val="002A1730"/>
    <w:rsid w:val="002B384B"/>
    <w:rsid w:val="002D5697"/>
    <w:rsid w:val="00324659"/>
    <w:rsid w:val="003258DE"/>
    <w:rsid w:val="00330F2A"/>
    <w:rsid w:val="003819DF"/>
    <w:rsid w:val="003826FA"/>
    <w:rsid w:val="003D4E11"/>
    <w:rsid w:val="003F6E46"/>
    <w:rsid w:val="004018FB"/>
    <w:rsid w:val="00421917"/>
    <w:rsid w:val="004366EC"/>
    <w:rsid w:val="00460B02"/>
    <w:rsid w:val="0047324E"/>
    <w:rsid w:val="00482C65"/>
    <w:rsid w:val="00494ACD"/>
    <w:rsid w:val="004A7DC5"/>
    <w:rsid w:val="004F3DC8"/>
    <w:rsid w:val="004F59DF"/>
    <w:rsid w:val="004F5E52"/>
    <w:rsid w:val="005132DE"/>
    <w:rsid w:val="005173CF"/>
    <w:rsid w:val="00525616"/>
    <w:rsid w:val="00536DAB"/>
    <w:rsid w:val="00540FEB"/>
    <w:rsid w:val="005754D3"/>
    <w:rsid w:val="00576FF9"/>
    <w:rsid w:val="005E64E4"/>
    <w:rsid w:val="005F18DB"/>
    <w:rsid w:val="005F30D3"/>
    <w:rsid w:val="005F4B7D"/>
    <w:rsid w:val="0061523E"/>
    <w:rsid w:val="00623F1E"/>
    <w:rsid w:val="00660A4E"/>
    <w:rsid w:val="00675018"/>
    <w:rsid w:val="00684DBF"/>
    <w:rsid w:val="006A4D31"/>
    <w:rsid w:val="006B6513"/>
    <w:rsid w:val="006C2866"/>
    <w:rsid w:val="006E309D"/>
    <w:rsid w:val="006E6142"/>
    <w:rsid w:val="007317CD"/>
    <w:rsid w:val="00745DAD"/>
    <w:rsid w:val="00787470"/>
    <w:rsid w:val="007925DD"/>
    <w:rsid w:val="00796DE7"/>
    <w:rsid w:val="007A6EC9"/>
    <w:rsid w:val="007B425D"/>
    <w:rsid w:val="00815A51"/>
    <w:rsid w:val="0084782A"/>
    <w:rsid w:val="00847C84"/>
    <w:rsid w:val="00863543"/>
    <w:rsid w:val="0087240C"/>
    <w:rsid w:val="008E14DF"/>
    <w:rsid w:val="008E165F"/>
    <w:rsid w:val="00906E75"/>
    <w:rsid w:val="009100B5"/>
    <w:rsid w:val="00910A17"/>
    <w:rsid w:val="00910E2F"/>
    <w:rsid w:val="00935AE7"/>
    <w:rsid w:val="00941D9F"/>
    <w:rsid w:val="00961489"/>
    <w:rsid w:val="009702CB"/>
    <w:rsid w:val="0099542D"/>
    <w:rsid w:val="009B57A8"/>
    <w:rsid w:val="009C16EB"/>
    <w:rsid w:val="009C69E0"/>
    <w:rsid w:val="00A27EA8"/>
    <w:rsid w:val="00A402F6"/>
    <w:rsid w:val="00AC1724"/>
    <w:rsid w:val="00AF75B8"/>
    <w:rsid w:val="00B048BB"/>
    <w:rsid w:val="00B10367"/>
    <w:rsid w:val="00B33473"/>
    <w:rsid w:val="00B54756"/>
    <w:rsid w:val="00B54F19"/>
    <w:rsid w:val="00B55E99"/>
    <w:rsid w:val="00B711C0"/>
    <w:rsid w:val="00B95472"/>
    <w:rsid w:val="00BA0D9C"/>
    <w:rsid w:val="00C00BF9"/>
    <w:rsid w:val="00C019B2"/>
    <w:rsid w:val="00C05672"/>
    <w:rsid w:val="00C244F8"/>
    <w:rsid w:val="00C3518C"/>
    <w:rsid w:val="00C53362"/>
    <w:rsid w:val="00C76BE9"/>
    <w:rsid w:val="00CB38AB"/>
    <w:rsid w:val="00CE619E"/>
    <w:rsid w:val="00CE7E53"/>
    <w:rsid w:val="00CF47B2"/>
    <w:rsid w:val="00D37322"/>
    <w:rsid w:val="00D43CB7"/>
    <w:rsid w:val="00D67B29"/>
    <w:rsid w:val="00D733DC"/>
    <w:rsid w:val="00DC037B"/>
    <w:rsid w:val="00E00D2E"/>
    <w:rsid w:val="00E160BE"/>
    <w:rsid w:val="00E27EF4"/>
    <w:rsid w:val="00E655FD"/>
    <w:rsid w:val="00E9446A"/>
    <w:rsid w:val="00EB33EC"/>
    <w:rsid w:val="00ED3A02"/>
    <w:rsid w:val="00EE5AF8"/>
    <w:rsid w:val="00EF1CA3"/>
    <w:rsid w:val="00EF634F"/>
    <w:rsid w:val="00EF7FB8"/>
    <w:rsid w:val="00F001EF"/>
    <w:rsid w:val="00F34CDA"/>
    <w:rsid w:val="00F83B82"/>
    <w:rsid w:val="00FC516B"/>
    <w:rsid w:val="00FC7151"/>
    <w:rsid w:val="00FF71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51B77"/>
  <w15:docId w15:val="{0D38F400-75A7-4A0E-ABD4-F9C11672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2">
    <w:name w:val="heading 2"/>
    <w:basedOn w:val="Normale"/>
    <w:next w:val="Normale"/>
    <w:link w:val="Titolo2Carattere"/>
    <w:uiPriority w:val="9"/>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paragraph" w:styleId="Titolo5">
    <w:name w:val="heading 5"/>
    <w:basedOn w:val="Normale"/>
    <w:next w:val="Normale"/>
    <w:link w:val="Titolo5Carattere"/>
    <w:uiPriority w:val="9"/>
    <w:semiHidden/>
    <w:unhideWhenUsed/>
    <w:qFormat/>
    <w:rsid w:val="00047641"/>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99"/>
    <w:rsid w:val="000F23BD"/>
  </w:style>
  <w:style w:type="paragraph" w:styleId="Pidipagina">
    <w:name w:val="footer"/>
    <w:basedOn w:val="Normale"/>
    <w:link w:val="PidipaginaCarattere"/>
    <w:uiPriority w:val="99"/>
    <w:unhideWhenUsed/>
    <w:rsid w:val="000F23BD"/>
    <w:pPr>
      <w:tabs>
        <w:tab w:val="center" w:pos="4819"/>
        <w:tab w:val="right" w:pos="9638"/>
      </w:tabs>
    </w:pPr>
  </w:style>
  <w:style w:type="character" w:customStyle="1" w:styleId="PidipaginaCarattere">
    <w:name w:val="Piè di pagina Carattere"/>
    <w:basedOn w:val="Carpredefinitoparagrafo"/>
    <w:link w:val="Pidipagina"/>
    <w:uiPriority w:val="99"/>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uiPriority w:val="99"/>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uiPriority w:val="99"/>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0F23BD"/>
    <w:rPr>
      <w:rFonts w:ascii="Calibri" w:hAnsi="Calibri" w:cs="Times New Roman"/>
      <w:sz w:val="20"/>
      <w:szCs w:val="20"/>
      <w:lang w:eastAsia="it-IT"/>
    </w:rPr>
  </w:style>
  <w:style w:type="character" w:styleId="Rimandonotaapidipagina">
    <w:name w:val="footnote reference"/>
    <w:basedOn w:val="Carpredefinitoparagrafo"/>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uiPriority w:val="9"/>
    <w:rsid w:val="00787470"/>
    <w:rPr>
      <w:rFonts w:asciiTheme="majorHAnsi" w:eastAsiaTheme="majorEastAsia" w:hAnsiTheme="majorHAnsi" w:cstheme="majorBidi"/>
      <w:color w:val="365F91" w:themeColor="accent1" w:themeShade="BF"/>
      <w:sz w:val="26"/>
      <w:szCs w:val="26"/>
      <w:lang w:eastAsia="it-IT"/>
    </w:rPr>
  </w:style>
  <w:style w:type="character" w:customStyle="1" w:styleId="Menzionenonrisolta1">
    <w:name w:val="Menzione non risolta1"/>
    <w:basedOn w:val="Carpredefinitoparagrafo"/>
    <w:uiPriority w:val="99"/>
    <w:semiHidden/>
    <w:unhideWhenUsed/>
    <w:rsid w:val="003F6E46"/>
    <w:rPr>
      <w:color w:val="808080"/>
      <w:shd w:val="clear" w:color="auto" w:fill="E6E6E6"/>
    </w:rPr>
  </w:style>
  <w:style w:type="paragraph" w:styleId="Rientrocorpodeltesto">
    <w:name w:val="Body Text Indent"/>
    <w:basedOn w:val="Normale"/>
    <w:link w:val="RientrocorpodeltestoCarattere"/>
    <w:uiPriority w:val="99"/>
    <w:semiHidden/>
    <w:unhideWhenUsed/>
    <w:rsid w:val="001C608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6080"/>
    <w:rPr>
      <w:rFonts w:eastAsiaTheme="minorEastAsia"/>
      <w:sz w:val="24"/>
      <w:szCs w:val="24"/>
      <w:lang w:eastAsia="it-IT"/>
    </w:rPr>
  </w:style>
  <w:style w:type="character" w:customStyle="1" w:styleId="Titolo5Carattere">
    <w:name w:val="Titolo 5 Carattere"/>
    <w:basedOn w:val="Carpredefinitoparagrafo"/>
    <w:link w:val="Titolo5"/>
    <w:uiPriority w:val="9"/>
    <w:semiHidden/>
    <w:rsid w:val="00047641"/>
    <w:rPr>
      <w:rFonts w:asciiTheme="majorHAnsi" w:eastAsiaTheme="majorEastAsia" w:hAnsiTheme="majorHAnsi" w:cstheme="majorBidi"/>
      <w:color w:val="365F91" w:themeColor="accent1" w:themeShade="BF"/>
      <w:sz w:val="24"/>
      <w:szCs w:val="24"/>
      <w:lang w:eastAsia="it-IT"/>
    </w:rPr>
  </w:style>
  <w:style w:type="paragraph" w:styleId="Corpodeltesto2">
    <w:name w:val="Body Text 2"/>
    <w:basedOn w:val="Normale"/>
    <w:link w:val="Corpodeltesto2Carattere"/>
    <w:uiPriority w:val="99"/>
    <w:semiHidden/>
    <w:unhideWhenUsed/>
    <w:rsid w:val="00047641"/>
    <w:pPr>
      <w:spacing w:after="120" w:line="480" w:lineRule="auto"/>
    </w:pPr>
  </w:style>
  <w:style w:type="character" w:customStyle="1" w:styleId="Corpodeltesto2Carattere">
    <w:name w:val="Corpo del testo 2 Carattere"/>
    <w:basedOn w:val="Carpredefinitoparagrafo"/>
    <w:link w:val="Corpodeltesto2"/>
    <w:uiPriority w:val="99"/>
    <w:semiHidden/>
    <w:rsid w:val="00047641"/>
    <w:rPr>
      <w:rFonts w:eastAsiaTheme="minorEastAsia"/>
      <w:sz w:val="24"/>
      <w:szCs w:val="24"/>
      <w:lang w:eastAsia="it-IT"/>
    </w:rPr>
  </w:style>
  <w:style w:type="paragraph" w:styleId="Testofumetto">
    <w:name w:val="Balloon Text"/>
    <w:basedOn w:val="Normale"/>
    <w:link w:val="TestofumettoCarattere"/>
    <w:uiPriority w:val="99"/>
    <w:semiHidden/>
    <w:unhideWhenUsed/>
    <w:rsid w:val="0023403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3403A"/>
    <w:rPr>
      <w:rFonts w:ascii="Lucida Grande" w:eastAsiaTheme="minorEastAsia" w:hAnsi="Lucida Grande" w:cs="Lucida Grande"/>
      <w:sz w:val="18"/>
      <w:szCs w:val="18"/>
      <w:lang w:eastAsia="it-IT"/>
    </w:rPr>
  </w:style>
  <w:style w:type="paragraph" w:styleId="Revisione">
    <w:name w:val="Revision"/>
    <w:hidden/>
    <w:uiPriority w:val="99"/>
    <w:semiHidden/>
    <w:rsid w:val="00D67B29"/>
    <w:pPr>
      <w:spacing w:after="0" w:line="240" w:lineRule="auto"/>
    </w:pPr>
    <w:rPr>
      <w:rFonts w:eastAsiaTheme="minorEastAsia"/>
      <w:sz w:val="24"/>
      <w:szCs w:val="24"/>
      <w:lang w:eastAsia="it-IT"/>
    </w:rPr>
  </w:style>
  <w:style w:type="table" w:styleId="Grigliatabella">
    <w:name w:val="Table Grid"/>
    <w:basedOn w:val="Tabellanormale"/>
    <w:uiPriority w:val="59"/>
    <w:rsid w:val="00C2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02560374">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B9926-5FA8-824B-A2F0-7F25983A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523</Words>
  <Characters>2985</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Simona Godio</cp:lastModifiedBy>
  <cp:revision>16</cp:revision>
  <cp:lastPrinted>2018-01-08T16:31:00Z</cp:lastPrinted>
  <dcterms:created xsi:type="dcterms:W3CDTF">2023-05-31T10:29:00Z</dcterms:created>
  <dcterms:modified xsi:type="dcterms:W3CDTF">2023-06-26T09:23:00Z</dcterms:modified>
</cp:coreProperties>
</file>